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1FFD7" w14:textId="77777777" w:rsidR="003738DA" w:rsidRDefault="003738DA" w:rsidP="00DF2008">
      <w:pPr>
        <w:pBdr>
          <w:top w:val="nil"/>
          <w:left w:val="nil"/>
          <w:bottom w:val="nil"/>
          <w:right w:val="nil"/>
          <w:between w:val="nil"/>
        </w:pBdr>
        <w:spacing w:after="240" w:line="275" w:lineRule="auto"/>
        <w:jc w:val="both"/>
        <w:rPr>
          <w:rFonts w:ascii="Calibri" w:eastAsia="Google Sans Text" w:hAnsi="Calibri" w:cs="Calibri"/>
          <w:color w:val="1B1C1D"/>
        </w:rPr>
      </w:pPr>
    </w:p>
    <w:p w14:paraId="37AAA959" w14:textId="77777777" w:rsidR="003738DA" w:rsidRDefault="003738DA" w:rsidP="00DF2008">
      <w:pPr>
        <w:pBdr>
          <w:top w:val="nil"/>
          <w:left w:val="nil"/>
          <w:bottom w:val="nil"/>
          <w:right w:val="nil"/>
          <w:between w:val="nil"/>
        </w:pBdr>
        <w:spacing w:after="240" w:line="275" w:lineRule="auto"/>
        <w:jc w:val="both"/>
        <w:rPr>
          <w:rFonts w:ascii="Calibri" w:eastAsia="Google Sans Text" w:hAnsi="Calibri" w:cs="Calibri"/>
          <w:color w:val="1B1C1D"/>
        </w:rPr>
      </w:pPr>
    </w:p>
    <w:p w14:paraId="61EC2C58" w14:textId="35BCD5C6" w:rsidR="00B332C2" w:rsidRDefault="00B332C2" w:rsidP="00DF2008">
      <w:pPr>
        <w:pBdr>
          <w:top w:val="nil"/>
          <w:left w:val="nil"/>
          <w:bottom w:val="nil"/>
          <w:right w:val="nil"/>
          <w:between w:val="nil"/>
        </w:pBdr>
        <w:spacing w:after="24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Участие компании </w:t>
      </w:r>
      <w:r w:rsidR="00AA78F5">
        <w:rPr>
          <w:rFonts w:ascii="Calibri" w:eastAsia="Google Sans Text" w:hAnsi="Calibri" w:cs="Calibri"/>
          <w:b/>
          <w:color w:val="1B1C1D"/>
        </w:rPr>
        <w:t xml:space="preserve">NUCON DOO </w:t>
      </w:r>
      <w:r w:rsidRPr="00DF2008">
        <w:rPr>
          <w:rFonts w:ascii="Calibri" w:eastAsia="Google Sans Text" w:hAnsi="Calibri" w:cs="Calibri"/>
          <w:color w:val="1B1C1D"/>
        </w:rPr>
        <w:t xml:space="preserve"> в фазах </w:t>
      </w:r>
      <w:r w:rsidRPr="00DF2008">
        <w:rPr>
          <w:rFonts w:ascii="Calibri" w:eastAsia="Google Sans Text" w:hAnsi="Calibri" w:cs="Calibri"/>
          <w:b/>
          <w:color w:val="1B1C1D"/>
        </w:rPr>
        <w:t>FEEP (Front-End Engineering Planning)</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FEED (Front End Engineering Design)</w:t>
      </w:r>
      <w:r w:rsidRPr="00DF2008">
        <w:rPr>
          <w:rFonts w:ascii="Calibri" w:eastAsia="Google Sans Text" w:hAnsi="Calibri" w:cs="Calibri"/>
          <w:color w:val="1B1C1D"/>
        </w:rPr>
        <w:t xml:space="preserve"> представляет собой критически важную функцию </w:t>
      </w:r>
      <w:r w:rsidRPr="00DF2008">
        <w:rPr>
          <w:rFonts w:ascii="Calibri" w:eastAsia="Google Sans Text" w:hAnsi="Calibri" w:cs="Calibri"/>
          <w:b/>
          <w:color w:val="1B1C1D"/>
        </w:rPr>
        <w:t>Интегратора Жизненного Цикла</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Верификатора Исходных Данных</w:t>
      </w:r>
      <w:r w:rsidRPr="00DF2008">
        <w:rPr>
          <w:rFonts w:ascii="Calibri" w:eastAsia="Google Sans Text" w:hAnsi="Calibri" w:cs="Calibri"/>
          <w:color w:val="1B1C1D"/>
        </w:rPr>
        <w:t xml:space="preserve">, обеспечивающего </w:t>
      </w:r>
      <w:r w:rsidRPr="00DF2008">
        <w:rPr>
          <w:rFonts w:ascii="Calibri" w:eastAsia="Google Sans Text" w:hAnsi="Calibri" w:cs="Calibri"/>
          <w:b/>
          <w:color w:val="1B1C1D"/>
        </w:rPr>
        <w:t>Концептуальную Зрелость Проекта (Conceptual Project Maturity)</w:t>
      </w:r>
      <w:r w:rsidRPr="00DF2008">
        <w:rPr>
          <w:rFonts w:ascii="Calibri" w:eastAsia="Google Sans Text" w:hAnsi="Calibri" w:cs="Calibri"/>
          <w:color w:val="1B1C1D"/>
        </w:rPr>
        <w:t xml:space="preserve"> до перехода к Фазе EPC (Engineering, Procurement, and Construction).</w:t>
      </w:r>
    </w:p>
    <w:p w14:paraId="1D255A44" w14:textId="4A407DAD" w:rsidR="0051239D" w:rsidRPr="00DF2008" w:rsidRDefault="00000000" w:rsidP="00DF2008">
      <w:pPr>
        <w:pStyle w:val="2"/>
        <w:spacing w:before="0" w:after="120" w:line="275" w:lineRule="auto"/>
        <w:jc w:val="both"/>
        <w:rPr>
          <w:rFonts w:ascii="Calibri" w:eastAsia="Google Sans" w:hAnsi="Calibri" w:cs="Calibri"/>
          <w:color w:val="1B1C1D"/>
        </w:rPr>
      </w:pPr>
      <w:bookmarkStart w:id="0" w:name="_Toc210924386"/>
      <w:r w:rsidRPr="00DF2008">
        <w:rPr>
          <w:rFonts w:ascii="Calibri" w:eastAsia="Google Sans" w:hAnsi="Calibri" w:cs="Calibri"/>
          <w:color w:val="1B1C1D"/>
        </w:rPr>
        <w:t xml:space="preserve">1. Роль </w:t>
      </w:r>
      <w:r w:rsidR="00AA78F5">
        <w:rPr>
          <w:rFonts w:ascii="Calibri" w:eastAsia="Google Sans Text" w:hAnsi="Calibri" w:cs="Calibri"/>
          <w:color w:val="1B1C1D"/>
        </w:rPr>
        <w:t xml:space="preserve">NUCON DOO </w:t>
      </w:r>
      <w:r w:rsidRPr="00DF2008">
        <w:rPr>
          <w:rFonts w:ascii="Calibri" w:eastAsia="Google Sans" w:hAnsi="Calibri" w:cs="Calibri"/>
          <w:color w:val="1B1C1D"/>
        </w:rPr>
        <w:t>в фазе FEEP (Front-End Engineering Planning): Стратегическая Верификация и Ресурсное Прогнозирование</w:t>
      </w:r>
      <w:bookmarkEnd w:id="0"/>
    </w:p>
    <w:p w14:paraId="7701B1DA" w14:textId="77777777" w:rsidR="0051239D" w:rsidRPr="00DF2008" w:rsidRDefault="00000000" w:rsidP="00DF2008">
      <w:pPr>
        <w:pBdr>
          <w:top w:val="nil"/>
          <w:left w:val="nil"/>
          <w:bottom w:val="nil"/>
          <w:right w:val="nil"/>
          <w:between w:val="nil"/>
        </w:pBdr>
        <w:spacing w:after="24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На этапе FEEP, где происходит стратегическое обоснование проекта и принимается решение об инвестициях, деятельность ИП Сорокина направлена на </w:t>
      </w:r>
      <w:r w:rsidRPr="00DF2008">
        <w:rPr>
          <w:rFonts w:ascii="Calibri" w:eastAsia="Google Sans Text" w:hAnsi="Calibri" w:cs="Calibri"/>
          <w:b/>
          <w:color w:val="1B1C1D"/>
        </w:rPr>
        <w:t>снижение неопределенности</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укрепление инвестиционной привлекательности</w:t>
      </w:r>
      <w:r w:rsidRPr="00DF2008">
        <w:rPr>
          <w:rFonts w:ascii="Calibri" w:eastAsia="Google Sans Text" w:hAnsi="Calibri" w:cs="Calibri"/>
          <w:color w:val="1B1C1D"/>
        </w:rPr>
        <w:t xml:space="preserve"> проекта.</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1239D" w:rsidRPr="00DF2008" w14:paraId="7CD08D9B"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10DDCD"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Направление деятельности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D19C0A2"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Научно-проектная терминология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000BC6" w14:textId="52BCB795"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Вклад </w:t>
            </w:r>
            <w:r w:rsidR="00AA78F5">
              <w:rPr>
                <w:rFonts w:ascii="Calibri" w:eastAsia="Google Sans Text" w:hAnsi="Calibri" w:cs="Calibri"/>
                <w:color w:val="1B1C1D"/>
              </w:rPr>
              <w:t xml:space="preserve">NUCON DOO </w:t>
            </w:r>
          </w:p>
        </w:tc>
      </w:tr>
      <w:tr w:rsidR="0051239D" w:rsidRPr="00DF2008" w14:paraId="6D3F3C1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57BFA"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Управление Исходными Данными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020BA7"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Формирование Базы Справочных Проектных Данных и Проактивное Управление Ресурсным Балансом (Reference Project Data Baseline Formation and Proactive Resource Balance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5B35F"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На основе опыта разработки системы </w:t>
            </w:r>
            <w:r w:rsidRPr="00DF2008">
              <w:rPr>
                <w:rFonts w:ascii="Calibri" w:eastAsia="Google Sans Text" w:hAnsi="Calibri" w:cs="Calibri"/>
                <w:b/>
                <w:color w:val="1B1C1D"/>
              </w:rPr>
              <w:t>RDS TCMNC</w:t>
            </w:r>
            <w:r w:rsidRPr="00DF2008">
              <w:rPr>
                <w:rFonts w:ascii="Calibri" w:eastAsia="Google Sans Text" w:hAnsi="Calibri" w:cs="Calibri"/>
                <w:color w:val="1B1C1D"/>
              </w:rPr>
              <w:t xml:space="preserve">, обеспечивается </w:t>
            </w:r>
            <w:r w:rsidRPr="00DF2008">
              <w:rPr>
                <w:rFonts w:ascii="Calibri" w:eastAsia="Google Sans Text" w:hAnsi="Calibri" w:cs="Calibri"/>
                <w:b/>
                <w:color w:val="1B1C1D"/>
              </w:rPr>
              <w:t>верификация, структурирование и мониторинг</w:t>
            </w:r>
            <w:r w:rsidRPr="00DF2008">
              <w:rPr>
                <w:rFonts w:ascii="Calibri" w:eastAsia="Google Sans Text" w:hAnsi="Calibri" w:cs="Calibri"/>
                <w:color w:val="1B1C1D"/>
              </w:rPr>
              <w:t xml:space="preserve"> критически важных исходных данных для ТЭО, включая </w:t>
            </w:r>
            <w:r w:rsidRPr="00DF2008">
              <w:rPr>
                <w:rFonts w:ascii="Calibri" w:eastAsia="Google Sans Text" w:hAnsi="Calibri" w:cs="Calibri"/>
                <w:b/>
                <w:color w:val="1B1C1D"/>
              </w:rPr>
              <w:t>нормативы расхода</w:t>
            </w:r>
            <w:r w:rsidRPr="00DF2008">
              <w:rPr>
                <w:rFonts w:ascii="Calibri" w:eastAsia="Google Sans Text" w:hAnsi="Calibri" w:cs="Calibri"/>
                <w:color w:val="1B1C1D"/>
              </w:rPr>
              <w:t xml:space="preserve"> материалов, трудозатрат и оборудования.</w:t>
            </w:r>
          </w:p>
        </w:tc>
      </w:tr>
      <w:tr w:rsidR="0051239D" w:rsidRPr="00DF2008" w14:paraId="1B83687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F06258"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Концептуальная Экспертиза</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9A1B5"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Экспертиза Полного Жизненного Цикла (Full Lifecycle Engineering Review)</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BD917D"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Проводится аудит предлагаемой концепции АЭС с точки зрения </w:t>
            </w:r>
            <w:r w:rsidRPr="00DF2008">
              <w:rPr>
                <w:rFonts w:ascii="Calibri" w:eastAsia="Google Sans Text" w:hAnsi="Calibri" w:cs="Calibri"/>
                <w:b/>
                <w:color w:val="1B1C1D"/>
              </w:rPr>
              <w:t>опыта эксплуатации, изготовления, строительства и вывода из эксплуатации</w:t>
            </w:r>
            <w:r w:rsidRPr="00DF2008">
              <w:rPr>
                <w:rFonts w:ascii="Calibri" w:eastAsia="Google Sans Text" w:hAnsi="Calibri" w:cs="Calibri"/>
                <w:color w:val="1B1C1D"/>
              </w:rPr>
              <w:t xml:space="preserve"> (</w:t>
            </w:r>
            <w:r w:rsidRPr="00DF2008">
              <w:rPr>
                <w:rFonts w:ascii="Calibri" w:eastAsia="Google Sans Text" w:hAnsi="Calibri" w:cs="Calibri"/>
                <w:b/>
                <w:color w:val="1B1C1D"/>
              </w:rPr>
              <w:t>ОЭО, ОПЭ</w:t>
            </w:r>
            <w:r w:rsidRPr="00DF2008">
              <w:rPr>
                <w:rFonts w:ascii="Calibri" w:eastAsia="Google Sans Text" w:hAnsi="Calibri" w:cs="Calibri"/>
                <w:color w:val="1B1C1D"/>
              </w:rPr>
              <w:t xml:space="preserve">). Это </w:t>
            </w:r>
            <w:r w:rsidRPr="00DF2008">
              <w:rPr>
                <w:rFonts w:ascii="Calibri" w:eastAsia="Google Sans Text" w:hAnsi="Calibri" w:cs="Calibri"/>
                <w:color w:val="1B1C1D"/>
              </w:rPr>
              <w:lastRenderedPageBreak/>
              <w:t xml:space="preserve">обеспечивает выбор технологического решения, которое будет </w:t>
            </w:r>
            <w:r w:rsidRPr="00DF2008">
              <w:rPr>
                <w:rFonts w:ascii="Calibri" w:eastAsia="Google Sans Text" w:hAnsi="Calibri" w:cs="Calibri"/>
                <w:b/>
                <w:color w:val="1B1C1D"/>
              </w:rPr>
              <w:t>конкурентоспособно</w:t>
            </w:r>
            <w:r w:rsidRPr="00DF2008">
              <w:rPr>
                <w:rFonts w:ascii="Calibri" w:eastAsia="Google Sans Text" w:hAnsi="Calibri" w:cs="Calibri"/>
                <w:color w:val="1B1C1D"/>
              </w:rPr>
              <w:t xml:space="preserve"> на протяжении всего жизненного цикла (50+ лет), а не только на этапе строительства.</w:t>
            </w:r>
          </w:p>
        </w:tc>
      </w:tr>
      <w:tr w:rsidR="0051239D" w:rsidRPr="00DF2008" w14:paraId="05DE835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4B610B"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lastRenderedPageBreak/>
              <w:t>Финансовая Обоснованность</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5D6A53C"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Моделирование Затрат на основе Исторических Данных (Historical Data-driven Cost Modeling) и Оценка Точности Смет (Estimate Accuracy Assessment)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8DB828"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Применение </w:t>
            </w:r>
            <w:r w:rsidRPr="00DF2008">
              <w:rPr>
                <w:rFonts w:ascii="Calibri" w:eastAsia="Google Sans Text" w:hAnsi="Calibri" w:cs="Calibri"/>
                <w:b/>
                <w:color w:val="1B1C1D"/>
              </w:rPr>
              <w:t>индивидуальных экспертных знаний</w:t>
            </w:r>
            <w:r w:rsidRPr="00DF2008">
              <w:rPr>
                <w:rFonts w:ascii="Calibri" w:eastAsia="Google Sans Text" w:hAnsi="Calibri" w:cs="Calibri"/>
                <w:color w:val="1B1C1D"/>
              </w:rPr>
              <w:t xml:space="preserve"> о фактических </w:t>
            </w:r>
            <w:r w:rsidRPr="00DF2008">
              <w:rPr>
                <w:rFonts w:ascii="Calibri" w:eastAsia="Google Sans Text" w:hAnsi="Calibri" w:cs="Calibri"/>
                <w:b/>
                <w:color w:val="1B1C1D"/>
              </w:rPr>
              <w:t>уровнях локализации, производственных мощностях и структуре цен</w:t>
            </w:r>
            <w:r w:rsidRPr="00DF2008">
              <w:rPr>
                <w:rFonts w:ascii="Calibri" w:eastAsia="Google Sans Text" w:hAnsi="Calibri" w:cs="Calibri"/>
                <w:color w:val="1B1C1D"/>
              </w:rPr>
              <w:t xml:space="preserve"> российских поставщиков, что позволяет создать </w:t>
            </w:r>
            <w:r w:rsidRPr="00DF2008">
              <w:rPr>
                <w:rFonts w:ascii="Calibri" w:eastAsia="Google Sans Text" w:hAnsi="Calibri" w:cs="Calibri"/>
                <w:b/>
                <w:color w:val="1B1C1D"/>
              </w:rPr>
              <w:t>реалистичный и детализированный прогноз CAPEX</w:t>
            </w:r>
            <w:r w:rsidRPr="00DF2008">
              <w:rPr>
                <w:rFonts w:ascii="Calibri" w:eastAsia="Google Sans Text" w:hAnsi="Calibri" w:cs="Calibri"/>
                <w:color w:val="1B1C1D"/>
              </w:rPr>
              <w:t>, превосходящий стандартные референтные оценки.</w:t>
            </w:r>
          </w:p>
        </w:tc>
      </w:tr>
    </w:tbl>
    <w:p w14:paraId="139BF1B9" w14:textId="77777777" w:rsidR="00B332C2" w:rsidRPr="00DF2008" w:rsidRDefault="00B332C2" w:rsidP="00DF2008">
      <w:pPr>
        <w:pStyle w:val="2"/>
        <w:spacing w:before="0" w:after="120" w:line="275" w:lineRule="auto"/>
        <w:jc w:val="both"/>
        <w:rPr>
          <w:rFonts w:ascii="Calibri" w:eastAsia="Google Sans" w:hAnsi="Calibri" w:cs="Calibri"/>
          <w:color w:val="1B1C1D"/>
        </w:rPr>
      </w:pPr>
    </w:p>
    <w:p w14:paraId="142C7CC7" w14:textId="58A7269B" w:rsidR="00B332C2" w:rsidRPr="00DF2008" w:rsidRDefault="00DF2008" w:rsidP="00DF2008">
      <w:pPr>
        <w:pStyle w:val="2"/>
        <w:spacing w:before="0" w:after="120" w:line="275" w:lineRule="auto"/>
        <w:jc w:val="both"/>
        <w:rPr>
          <w:rFonts w:ascii="Calibri" w:eastAsia="Google Sans" w:hAnsi="Calibri" w:cs="Calibri"/>
          <w:color w:val="1B1C1D"/>
        </w:rPr>
      </w:pPr>
      <w:bookmarkStart w:id="1" w:name="_Toc210924387"/>
      <w:r>
        <w:rPr>
          <w:rFonts w:ascii="Calibri" w:eastAsia="Google Sans" w:hAnsi="Calibri" w:cs="Calibri"/>
          <w:color w:val="1B1C1D"/>
        </w:rPr>
        <w:t>2</w:t>
      </w:r>
      <w:r w:rsidR="00B332C2" w:rsidRPr="00DF2008">
        <w:rPr>
          <w:rFonts w:ascii="Calibri" w:eastAsia="Google Sans" w:hAnsi="Calibri" w:cs="Calibri"/>
          <w:color w:val="1B1C1D"/>
        </w:rPr>
        <w:t>. Роль в фазе FEEP: Концептуализация и Стратегическое Выравнивание</w:t>
      </w:r>
      <w:bookmarkEnd w:id="1"/>
    </w:p>
    <w:p w14:paraId="7E2CC935" w14:textId="03863168" w:rsidR="00B332C2" w:rsidRPr="00DF2008" w:rsidRDefault="00B332C2" w:rsidP="00DF2008">
      <w:pPr>
        <w:pBdr>
          <w:top w:val="nil"/>
          <w:left w:val="nil"/>
          <w:bottom w:val="nil"/>
          <w:right w:val="nil"/>
          <w:between w:val="nil"/>
        </w:pBdr>
        <w:spacing w:after="24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На этапе </w:t>
      </w:r>
      <w:r w:rsidRPr="00DF2008">
        <w:rPr>
          <w:rFonts w:ascii="Calibri" w:eastAsia="Google Sans Text" w:hAnsi="Calibri" w:cs="Calibri"/>
          <w:b/>
          <w:color w:val="1B1C1D"/>
        </w:rPr>
        <w:t>FEEP</w:t>
      </w:r>
      <w:r w:rsidRPr="00DF2008">
        <w:rPr>
          <w:rFonts w:ascii="Calibri" w:eastAsia="Google Sans Text" w:hAnsi="Calibri" w:cs="Calibri"/>
          <w:color w:val="1B1C1D"/>
        </w:rPr>
        <w:t xml:space="preserve">, который соответствует первым двум вехам МАГАТЭ (Milestones 1 и 2), деятельность </w:t>
      </w:r>
      <w:r w:rsidR="00AA78F5">
        <w:rPr>
          <w:rFonts w:ascii="Calibri" w:eastAsia="Google Sans Text" w:hAnsi="Calibri" w:cs="Calibri"/>
          <w:color w:val="1B1C1D"/>
        </w:rPr>
        <w:t xml:space="preserve">NUCON DOO </w:t>
      </w:r>
      <w:r w:rsidRPr="00DF2008">
        <w:rPr>
          <w:rFonts w:ascii="Calibri" w:eastAsia="Google Sans Text" w:hAnsi="Calibri" w:cs="Calibri"/>
          <w:color w:val="1B1C1D"/>
        </w:rPr>
        <w:t xml:space="preserve"> носит характер </w:t>
      </w:r>
      <w:r w:rsidRPr="00DF2008">
        <w:rPr>
          <w:rFonts w:ascii="Calibri" w:eastAsia="Google Sans Text" w:hAnsi="Calibri" w:cs="Calibri"/>
          <w:b/>
          <w:color w:val="1B1C1D"/>
        </w:rPr>
        <w:t>системной прединвестиционной экспертизы</w:t>
      </w:r>
      <w:r w:rsidRPr="00DF2008">
        <w:rPr>
          <w:rFonts w:ascii="Calibri" w:eastAsia="Google Sans Text" w:hAnsi="Calibri" w:cs="Calibri"/>
          <w:color w:val="1B1C1D"/>
        </w:rPr>
        <w:t>.</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332C2" w:rsidRPr="00DF2008" w14:paraId="537133D4"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72FE4B3"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Направление деятельности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6576D4"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Научно-проектная терминология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8C67A7" w14:textId="0B35C53E"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Вклад </w:t>
            </w:r>
            <w:r w:rsidR="00AA78F5">
              <w:rPr>
                <w:rFonts w:ascii="Calibri" w:eastAsia="Google Sans Text" w:hAnsi="Calibri" w:cs="Calibri"/>
                <w:color w:val="1B1C1D"/>
              </w:rPr>
              <w:t xml:space="preserve">NUCON DOO </w:t>
            </w:r>
          </w:p>
        </w:tc>
      </w:tr>
      <w:tr w:rsidR="00B332C2" w:rsidRPr="00DF2008" w14:paraId="07EA693B"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DE34C4"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Стратегическое планирование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9B1A7F"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 xml:space="preserve">Институциональное и финансовое структурирование проекта </w:t>
            </w:r>
            <w:r w:rsidRPr="00DF2008">
              <w:rPr>
                <w:rFonts w:ascii="Calibri" w:eastAsia="Google Sans Text" w:hAnsi="Calibri" w:cs="Calibri"/>
                <w:b/>
                <w:color w:val="1B1C1D"/>
              </w:rPr>
              <w:lastRenderedPageBreak/>
              <w:t>(Institutional and Financial Structuring)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544511"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b/>
                <w:color w:val="1B1C1D"/>
              </w:rPr>
              <w:lastRenderedPageBreak/>
              <w:t xml:space="preserve">Разработка оптимальных организационных, юридических и финансовых </w:t>
            </w:r>
            <w:r w:rsidRPr="00DF2008">
              <w:rPr>
                <w:rFonts w:ascii="Calibri" w:eastAsia="Google Sans Text" w:hAnsi="Calibri" w:cs="Calibri"/>
                <w:b/>
                <w:color w:val="1B1C1D"/>
              </w:rPr>
              <w:lastRenderedPageBreak/>
              <w:t>схем</w:t>
            </w:r>
            <w:r w:rsidRPr="00DF2008">
              <w:rPr>
                <w:rFonts w:ascii="Calibri" w:eastAsia="Google Sans Text" w:hAnsi="Calibri" w:cs="Calibri"/>
                <w:color w:val="1B1C1D"/>
              </w:rPr>
              <w:t xml:space="preserve">, направленных на минимизацию </w:t>
            </w:r>
            <w:r w:rsidRPr="00DF2008">
              <w:rPr>
                <w:rFonts w:ascii="Calibri" w:eastAsia="Google Sans Text" w:hAnsi="Calibri" w:cs="Calibri"/>
                <w:b/>
                <w:color w:val="1B1C1D"/>
              </w:rPr>
              <w:t>регуляторного и макроэкономического риска</w:t>
            </w:r>
            <w:r w:rsidRPr="00DF2008">
              <w:rPr>
                <w:rFonts w:ascii="Calibri" w:eastAsia="Google Sans Text" w:hAnsi="Calibri" w:cs="Calibri"/>
                <w:color w:val="1B1C1D"/>
              </w:rPr>
              <w:t xml:space="preserve"> (Regulatory and Macroeconomic Risk) и обеспечение </w:t>
            </w:r>
            <w:r w:rsidRPr="00DF2008">
              <w:rPr>
                <w:rFonts w:ascii="Calibri" w:eastAsia="Google Sans Text" w:hAnsi="Calibri" w:cs="Calibri"/>
                <w:b/>
                <w:color w:val="1B1C1D"/>
              </w:rPr>
              <w:t>проектного финансирования (Project Finance)</w:t>
            </w:r>
            <w:r w:rsidRPr="00DF2008">
              <w:rPr>
                <w:rFonts w:ascii="Calibri" w:eastAsia="Google Sans Text" w:hAnsi="Calibri" w:cs="Calibri"/>
                <w:color w:val="1B1C1D"/>
              </w:rPr>
              <w:t>.</w:t>
            </w:r>
          </w:p>
        </w:tc>
      </w:tr>
      <w:tr w:rsidR="00B332C2" w:rsidRPr="00DF2008" w14:paraId="6B874911"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D3BDEC"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lastRenderedPageBreak/>
              <w:t>Технико-экономическое обоснование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29D722"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Проведение Технико-Экономического Аудита (Technical Due Diligence)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42F095F"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Подготовка и экспертиза </w:t>
            </w:r>
            <w:r w:rsidRPr="00DF2008">
              <w:rPr>
                <w:rFonts w:ascii="Calibri" w:eastAsia="Google Sans Text" w:hAnsi="Calibri" w:cs="Calibri"/>
                <w:b/>
                <w:color w:val="1B1C1D"/>
              </w:rPr>
              <w:t>ТЭО (Feasibility Study)</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инвестиционных меморандумов</w:t>
            </w:r>
            <w:r w:rsidRPr="00DF2008">
              <w:rPr>
                <w:rFonts w:ascii="Calibri" w:eastAsia="Google Sans Text" w:hAnsi="Calibri" w:cs="Calibri"/>
                <w:color w:val="1B1C1D"/>
              </w:rPr>
              <w:t xml:space="preserve">, обеспечивая </w:t>
            </w:r>
            <w:r w:rsidRPr="00DF2008">
              <w:rPr>
                <w:rFonts w:ascii="Calibri" w:eastAsia="Google Sans Text" w:hAnsi="Calibri" w:cs="Calibri"/>
                <w:b/>
                <w:color w:val="1B1C1D"/>
              </w:rPr>
              <w:t>валидацию исходных данных</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анализ альтернативных инвестиционных направлений</w:t>
            </w:r>
            <w:r w:rsidRPr="00DF2008">
              <w:rPr>
                <w:rFonts w:ascii="Calibri" w:eastAsia="Google Sans Text" w:hAnsi="Calibri" w:cs="Calibri"/>
                <w:color w:val="1B1C1D"/>
              </w:rPr>
              <w:t xml:space="preserve"> с целью </w:t>
            </w:r>
            <w:r w:rsidRPr="00DF2008">
              <w:rPr>
                <w:rFonts w:ascii="Calibri" w:eastAsia="Google Sans Text" w:hAnsi="Calibri" w:cs="Calibri"/>
                <w:b/>
                <w:color w:val="1B1C1D"/>
              </w:rPr>
              <w:t>оптимизации Индекса Доходности (Profitability Index)</w:t>
            </w:r>
            <w:r w:rsidRPr="00DF2008">
              <w:rPr>
                <w:rFonts w:ascii="Calibri" w:eastAsia="Google Sans Text" w:hAnsi="Calibri" w:cs="Calibri"/>
                <w:color w:val="1B1C1D"/>
              </w:rPr>
              <w:t>.</w:t>
            </w:r>
          </w:p>
        </w:tc>
      </w:tr>
      <w:tr w:rsidR="00B332C2" w:rsidRPr="00DF2008" w14:paraId="1689D325"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0AFCEC"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Управление рисками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95CB38"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Проактивная Идентификация и Митигация Критических Рисков (Proactive Risk Identification and Mitigation)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DA1E2E3"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Разработка </w:t>
            </w:r>
            <w:r w:rsidRPr="00DF2008">
              <w:rPr>
                <w:rFonts w:ascii="Calibri" w:eastAsia="Google Sans Text" w:hAnsi="Calibri" w:cs="Calibri"/>
                <w:b/>
                <w:color w:val="1B1C1D"/>
              </w:rPr>
              <w:t>матриц рисков</w:t>
            </w:r>
            <w:r w:rsidRPr="00DF2008">
              <w:rPr>
                <w:rFonts w:ascii="Calibri" w:eastAsia="Google Sans Text" w:hAnsi="Calibri" w:cs="Calibri"/>
                <w:color w:val="1B1C1D"/>
              </w:rPr>
              <w:t xml:space="preserve"> и стратегий их снижения, включая оценку </w:t>
            </w:r>
            <w:r w:rsidRPr="00DF2008">
              <w:rPr>
                <w:rFonts w:ascii="Calibri" w:eastAsia="Google Sans Text" w:hAnsi="Calibri" w:cs="Calibri"/>
                <w:b/>
                <w:color w:val="1B1C1D"/>
              </w:rPr>
              <w:t>проектной неопределенности</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контроль заложенных проектных допущений (Assumptions Control)</w:t>
            </w:r>
            <w:r w:rsidRPr="00DF2008">
              <w:rPr>
                <w:rFonts w:ascii="Calibri" w:eastAsia="Google Sans Text" w:hAnsi="Calibri" w:cs="Calibri"/>
                <w:color w:val="1B1C1D"/>
              </w:rPr>
              <w:t>.</w:t>
            </w:r>
          </w:p>
        </w:tc>
      </w:tr>
      <w:tr w:rsidR="00B332C2" w:rsidRPr="00DF2008" w14:paraId="6D41A86A"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75E5A8"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Регуляторное соответствие</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F82A80"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Междисциплинарная Координация (Interdisciplinary Coordination)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831ECF"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b/>
                <w:color w:val="1B1C1D"/>
              </w:rPr>
              <w:t>Содействие в формировании необходимой национальной инфраструктуры</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согласовании нормативно-правовой документации</w:t>
            </w:r>
            <w:r w:rsidRPr="00DF2008">
              <w:rPr>
                <w:rFonts w:ascii="Calibri" w:eastAsia="Google Sans Text" w:hAnsi="Calibri" w:cs="Calibri"/>
                <w:color w:val="1B1C1D"/>
              </w:rPr>
              <w:t xml:space="preserve"> для обеспечения соответствия </w:t>
            </w:r>
            <w:r w:rsidRPr="00DF2008">
              <w:rPr>
                <w:rFonts w:ascii="Calibri" w:eastAsia="Google Sans Text" w:hAnsi="Calibri" w:cs="Calibri"/>
                <w:color w:val="1B1C1D"/>
              </w:rPr>
              <w:lastRenderedPageBreak/>
              <w:t>многорегуляторным требованиям в условиях трансграничного проекта.</w:t>
            </w:r>
          </w:p>
        </w:tc>
      </w:tr>
    </w:tbl>
    <w:p w14:paraId="6875922C" w14:textId="4511327F" w:rsidR="0051239D" w:rsidRPr="00DF2008" w:rsidRDefault="00DF2008" w:rsidP="00DF2008">
      <w:pPr>
        <w:pStyle w:val="2"/>
        <w:spacing w:before="0" w:after="120" w:line="275" w:lineRule="auto"/>
        <w:jc w:val="both"/>
        <w:rPr>
          <w:rFonts w:ascii="Calibri" w:eastAsia="Google Sans" w:hAnsi="Calibri" w:cs="Calibri"/>
          <w:color w:val="1B1C1D"/>
        </w:rPr>
      </w:pPr>
      <w:bookmarkStart w:id="2" w:name="_Toc210924388"/>
      <w:r>
        <w:rPr>
          <w:rFonts w:ascii="Calibri" w:eastAsia="Google Sans" w:hAnsi="Calibri" w:cs="Calibri"/>
          <w:color w:val="1B1C1D"/>
        </w:rPr>
        <w:lastRenderedPageBreak/>
        <w:t>3</w:t>
      </w:r>
      <w:r w:rsidRPr="00DF2008">
        <w:rPr>
          <w:rFonts w:ascii="Calibri" w:eastAsia="Google Sans" w:hAnsi="Calibri" w:cs="Calibri"/>
          <w:color w:val="1B1C1D"/>
        </w:rPr>
        <w:t>. Роль в фазе FEED (Front End Engineering Design): Технологическая Интеграция и Конфигурационный Контроль</w:t>
      </w:r>
      <w:bookmarkEnd w:id="2"/>
    </w:p>
    <w:p w14:paraId="17DEE87E" w14:textId="77777777" w:rsidR="0051239D" w:rsidRPr="00DF2008" w:rsidRDefault="00000000" w:rsidP="00DF2008">
      <w:pPr>
        <w:pBdr>
          <w:top w:val="nil"/>
          <w:left w:val="nil"/>
          <w:bottom w:val="nil"/>
          <w:right w:val="nil"/>
          <w:between w:val="nil"/>
        </w:pBdr>
        <w:spacing w:after="24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На этапе FEED, когда базовый проект (Design Basis) кристаллизуется, основной задачей становится </w:t>
      </w:r>
      <w:r w:rsidRPr="00DF2008">
        <w:rPr>
          <w:rFonts w:ascii="Calibri" w:eastAsia="Google Sans Text" w:hAnsi="Calibri" w:cs="Calibri"/>
          <w:b/>
          <w:color w:val="1B1C1D"/>
        </w:rPr>
        <w:t>обеспечение высокой зрелости технического решения</w:t>
      </w:r>
      <w:r w:rsidRPr="00DF2008">
        <w:rPr>
          <w:rFonts w:ascii="Calibri" w:eastAsia="Google Sans Text" w:hAnsi="Calibri" w:cs="Calibri"/>
          <w:color w:val="1B1C1D"/>
        </w:rPr>
        <w:t xml:space="preserve"> и его </w:t>
      </w:r>
      <w:r w:rsidRPr="00DF2008">
        <w:rPr>
          <w:rFonts w:ascii="Calibri" w:eastAsia="Google Sans Text" w:hAnsi="Calibri" w:cs="Calibri"/>
          <w:b/>
          <w:color w:val="1B1C1D"/>
        </w:rPr>
        <w:t>бесшовной интеграции</w:t>
      </w:r>
      <w:r w:rsidRPr="00DF2008">
        <w:rPr>
          <w:rFonts w:ascii="Calibri" w:eastAsia="Google Sans Text" w:hAnsi="Calibri" w:cs="Calibri"/>
          <w:color w:val="1B1C1D"/>
        </w:rPr>
        <w:t xml:space="preserve"> с локальными условиями и возможностями.</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51239D" w:rsidRPr="00DF2008" w14:paraId="431149D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9EE2F"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Направление деятельности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F836033"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Научно-проектная терминология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0E3B9A" w14:textId="2E169F50"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Вклад </w:t>
            </w:r>
            <w:r w:rsidR="00AA78F5">
              <w:rPr>
                <w:rFonts w:ascii="Calibri" w:eastAsia="Google Sans Text" w:hAnsi="Calibri" w:cs="Calibri"/>
                <w:color w:val="1B1C1D"/>
              </w:rPr>
              <w:t xml:space="preserve">NUCON DOO </w:t>
            </w:r>
          </w:p>
        </w:tc>
      </w:tr>
      <w:tr w:rsidR="0051239D" w:rsidRPr="00DF2008" w14:paraId="2681158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94A1D6A"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Оценка Проекта</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572559"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Конфигурационный Контроль и Верификация Проекта (Configuration Control and Design Verification)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40D03A"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Экспертиза проектных решений с позиции </w:t>
            </w:r>
            <w:r w:rsidRPr="00DF2008">
              <w:rPr>
                <w:rFonts w:ascii="Calibri" w:eastAsia="Google Sans Text" w:hAnsi="Calibri" w:cs="Calibri"/>
                <w:b/>
                <w:color w:val="1B1C1D"/>
              </w:rPr>
              <w:t>Главного инженера</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строителя</w:t>
            </w:r>
            <w:r w:rsidRPr="00DF2008">
              <w:rPr>
                <w:rFonts w:ascii="Calibri" w:eastAsia="Google Sans Text" w:hAnsi="Calibri" w:cs="Calibri"/>
                <w:color w:val="1B1C1D"/>
              </w:rPr>
              <w:t xml:space="preserve">. Контроль соответствия базового дизайна требованиям </w:t>
            </w:r>
            <w:r w:rsidRPr="00DF2008">
              <w:rPr>
                <w:rFonts w:ascii="Calibri" w:eastAsia="Google Sans Text" w:hAnsi="Calibri" w:cs="Calibri"/>
                <w:b/>
                <w:color w:val="1B1C1D"/>
              </w:rPr>
              <w:t>технологичности строительства (Constructability)</w:t>
            </w:r>
            <w:r w:rsidRPr="00DF2008">
              <w:rPr>
                <w:rFonts w:ascii="Calibri" w:eastAsia="Google Sans Text" w:hAnsi="Calibri" w:cs="Calibri"/>
                <w:color w:val="1B1C1D"/>
              </w:rPr>
              <w:t xml:space="preserve">, </w:t>
            </w:r>
            <w:r w:rsidRPr="00DF2008">
              <w:rPr>
                <w:rFonts w:ascii="Calibri" w:eastAsia="Google Sans Text" w:hAnsi="Calibri" w:cs="Calibri"/>
                <w:b/>
                <w:color w:val="1B1C1D"/>
              </w:rPr>
              <w:t>монтажной пригодности (Installability)</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ремонтопригодности (Maintainability)</w:t>
            </w:r>
            <w:r w:rsidRPr="00DF2008">
              <w:rPr>
                <w:rFonts w:ascii="Calibri" w:eastAsia="Google Sans Text" w:hAnsi="Calibri" w:cs="Calibri"/>
                <w:color w:val="1B1C1D"/>
              </w:rPr>
              <w:t>.</w:t>
            </w:r>
          </w:p>
        </w:tc>
      </w:tr>
      <w:tr w:rsidR="0051239D" w:rsidRPr="00DF2008" w14:paraId="4DF2735A"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2337A1"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Взаимодействие с Вендором</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F19EAAF"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Фасилитация Технологического Трансфера и Интерфейсное Управление (Technology Transfer Facilitation and Interface Management)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4D3B8E"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Выступление в роли </w:t>
            </w:r>
            <w:r w:rsidRPr="00DF2008">
              <w:rPr>
                <w:rFonts w:ascii="Calibri" w:eastAsia="Google Sans Text" w:hAnsi="Calibri" w:cs="Calibri"/>
                <w:b/>
                <w:color w:val="1B1C1D"/>
              </w:rPr>
              <w:t>двуязычного интерфейса</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эксперта по российской атомной школе</w:t>
            </w:r>
            <w:r w:rsidRPr="00DF2008">
              <w:rPr>
                <w:rFonts w:ascii="Calibri" w:eastAsia="Google Sans Text" w:hAnsi="Calibri" w:cs="Calibri"/>
                <w:color w:val="1B1C1D"/>
              </w:rPr>
              <w:t xml:space="preserve"> (ВВЭР), что критически важно для эффективного взаимодействия между Заказчиком и Вендором/Генпроектировщи</w:t>
            </w:r>
            <w:r w:rsidRPr="00DF2008">
              <w:rPr>
                <w:rFonts w:ascii="Calibri" w:eastAsia="Google Sans Text" w:hAnsi="Calibri" w:cs="Calibri"/>
                <w:color w:val="1B1C1D"/>
              </w:rPr>
              <w:lastRenderedPageBreak/>
              <w:t xml:space="preserve">ком. Обеспечение </w:t>
            </w:r>
            <w:r w:rsidRPr="00DF2008">
              <w:rPr>
                <w:rFonts w:ascii="Calibri" w:eastAsia="Google Sans Text" w:hAnsi="Calibri" w:cs="Calibri"/>
                <w:b/>
                <w:color w:val="1B1C1D"/>
              </w:rPr>
              <w:t>регуляторной гармонизации</w:t>
            </w:r>
            <w:r w:rsidRPr="00DF2008">
              <w:rPr>
                <w:rFonts w:ascii="Calibri" w:eastAsia="Google Sans Text" w:hAnsi="Calibri" w:cs="Calibri"/>
                <w:color w:val="1B1C1D"/>
              </w:rPr>
              <w:t xml:space="preserve"> проектных документов для многорегуляторной среды.</w:t>
            </w:r>
          </w:p>
        </w:tc>
      </w:tr>
      <w:tr w:rsidR="0051239D" w:rsidRPr="00DF2008" w14:paraId="4BD1A784"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402972"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lastRenderedPageBreak/>
              <w:t>Управление Снабжением</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82EDE1"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Оптимизация Цепочки Поставок Длинноциклового Оборудования (Long-Lead Item Supply Chain Optimization)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ECA70F" w14:textId="77777777" w:rsidR="0051239D" w:rsidRPr="00DF2008" w:rsidRDefault="00000000"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Использование </w:t>
            </w:r>
            <w:r w:rsidRPr="00DF2008">
              <w:rPr>
                <w:rFonts w:ascii="Calibri" w:eastAsia="Google Sans Text" w:hAnsi="Calibri" w:cs="Calibri"/>
                <w:b/>
                <w:color w:val="1B1C1D"/>
              </w:rPr>
              <w:t>многолетних производственных связей</w:t>
            </w:r>
            <w:r w:rsidRPr="00DF2008">
              <w:rPr>
                <w:rFonts w:ascii="Calibri" w:eastAsia="Google Sans Text" w:hAnsi="Calibri" w:cs="Calibri"/>
                <w:color w:val="1B1C1D"/>
              </w:rPr>
              <w:t xml:space="preserve"> для консультирования по вопросам </w:t>
            </w:r>
            <w:r w:rsidRPr="00DF2008">
              <w:rPr>
                <w:rFonts w:ascii="Calibri" w:eastAsia="Google Sans Text" w:hAnsi="Calibri" w:cs="Calibri"/>
                <w:b/>
                <w:color w:val="1B1C1D"/>
              </w:rPr>
              <w:t>сроков изготовления и поставки</w:t>
            </w:r>
            <w:r w:rsidRPr="00DF2008">
              <w:rPr>
                <w:rFonts w:ascii="Calibri" w:eastAsia="Google Sans Text" w:hAnsi="Calibri" w:cs="Calibri"/>
                <w:color w:val="1B1C1D"/>
              </w:rPr>
              <w:t xml:space="preserve"> ключевого оборудования АЭС, а также для </w:t>
            </w:r>
            <w:r w:rsidRPr="00DF2008">
              <w:rPr>
                <w:rFonts w:ascii="Calibri" w:eastAsia="Google Sans Text" w:hAnsi="Calibri" w:cs="Calibri"/>
                <w:b/>
                <w:color w:val="1B1C1D"/>
              </w:rPr>
              <w:t>проведения аудитов производства</w:t>
            </w:r>
            <w:r w:rsidRPr="00DF2008">
              <w:rPr>
                <w:rFonts w:ascii="Calibri" w:eastAsia="Google Sans Text" w:hAnsi="Calibri" w:cs="Calibri"/>
                <w:color w:val="1B1C1D"/>
              </w:rPr>
              <w:t xml:space="preserve"> (Vendor Audits), что минимизирует риски задержек, возникающих на Фазе EPC.</w:t>
            </w:r>
          </w:p>
        </w:tc>
      </w:tr>
    </w:tbl>
    <w:p w14:paraId="3CF22FD6" w14:textId="77777777" w:rsidR="00B320B8" w:rsidRDefault="00B320B8" w:rsidP="00DF2008">
      <w:pPr>
        <w:pStyle w:val="2"/>
        <w:spacing w:before="0" w:after="120" w:line="275" w:lineRule="auto"/>
        <w:jc w:val="both"/>
        <w:rPr>
          <w:rFonts w:ascii="Calibri" w:eastAsia="Google Sans" w:hAnsi="Calibri" w:cs="Calibri"/>
          <w:color w:val="1B1C1D"/>
        </w:rPr>
      </w:pPr>
    </w:p>
    <w:p w14:paraId="011CC6FE" w14:textId="5D5E69BB" w:rsidR="00B332C2" w:rsidRPr="00DF2008" w:rsidRDefault="00B320B8" w:rsidP="00DF2008">
      <w:pPr>
        <w:pStyle w:val="2"/>
        <w:spacing w:before="0" w:after="120" w:line="275" w:lineRule="auto"/>
        <w:jc w:val="both"/>
        <w:rPr>
          <w:rFonts w:ascii="Calibri" w:eastAsia="Google Sans" w:hAnsi="Calibri" w:cs="Calibri"/>
          <w:color w:val="1B1C1D"/>
        </w:rPr>
      </w:pPr>
      <w:bookmarkStart w:id="3" w:name="_Toc210924389"/>
      <w:r>
        <w:rPr>
          <w:rFonts w:ascii="Calibri" w:eastAsia="Google Sans" w:hAnsi="Calibri" w:cs="Calibri"/>
          <w:color w:val="1B1C1D"/>
        </w:rPr>
        <w:t>4</w:t>
      </w:r>
      <w:r w:rsidR="00B332C2" w:rsidRPr="00DF2008">
        <w:rPr>
          <w:rFonts w:ascii="Calibri" w:eastAsia="Google Sans" w:hAnsi="Calibri" w:cs="Calibri"/>
          <w:color w:val="1B1C1D"/>
        </w:rPr>
        <w:t>. Роль в фазе FEED: Обеспечение Зрелости Проекта и Оптимизация CAPEX</w:t>
      </w:r>
      <w:bookmarkEnd w:id="3"/>
    </w:p>
    <w:p w14:paraId="5A1609AB" w14:textId="27CB7CD5" w:rsidR="00B332C2" w:rsidRPr="00DF2008" w:rsidRDefault="00B332C2" w:rsidP="00DF2008">
      <w:pPr>
        <w:pBdr>
          <w:top w:val="nil"/>
          <w:left w:val="nil"/>
          <w:bottom w:val="nil"/>
          <w:right w:val="nil"/>
          <w:between w:val="nil"/>
        </w:pBdr>
        <w:spacing w:after="24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На этапе </w:t>
      </w:r>
      <w:r w:rsidRPr="00DF2008">
        <w:rPr>
          <w:rFonts w:ascii="Calibri" w:eastAsia="Google Sans Text" w:hAnsi="Calibri" w:cs="Calibri"/>
          <w:b/>
          <w:color w:val="1B1C1D"/>
        </w:rPr>
        <w:t>FEED</w:t>
      </w:r>
      <w:r w:rsidRPr="00DF2008">
        <w:rPr>
          <w:rFonts w:ascii="Calibri" w:eastAsia="Google Sans Text" w:hAnsi="Calibri" w:cs="Calibri"/>
          <w:color w:val="1B1C1D"/>
        </w:rPr>
        <w:t xml:space="preserve"> (соответствует предконтрактной стадии Фазы 2 и началу Фазы 3 МАГАТЭ), роль </w:t>
      </w:r>
      <w:r w:rsidR="00AA78F5">
        <w:rPr>
          <w:rFonts w:ascii="Calibri" w:eastAsia="Google Sans Text" w:hAnsi="Calibri" w:cs="Calibri"/>
          <w:color w:val="1B1C1D"/>
        </w:rPr>
        <w:t xml:space="preserve">NUCON DOO </w:t>
      </w:r>
      <w:r w:rsidRPr="00DF2008">
        <w:rPr>
          <w:rFonts w:ascii="Calibri" w:eastAsia="Google Sans Text" w:hAnsi="Calibri" w:cs="Calibri"/>
          <w:color w:val="1B1C1D"/>
        </w:rPr>
        <w:t xml:space="preserve"> смещается в область </w:t>
      </w:r>
      <w:r w:rsidRPr="00DF2008">
        <w:rPr>
          <w:rFonts w:ascii="Calibri" w:eastAsia="Google Sans Text" w:hAnsi="Calibri" w:cs="Calibri"/>
          <w:b/>
          <w:color w:val="1B1C1D"/>
        </w:rPr>
        <w:t>контроля проектирования</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оптимизации капитальных затрат (CAPEX)</w:t>
      </w:r>
      <w:r w:rsidRPr="00DF2008">
        <w:rPr>
          <w:rFonts w:ascii="Calibri" w:eastAsia="Google Sans Text" w:hAnsi="Calibri" w:cs="Calibri"/>
          <w:color w:val="1B1C1D"/>
        </w:rPr>
        <w:t>.</w:t>
      </w: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B332C2" w:rsidRPr="00DF2008" w14:paraId="7FDC2DB8"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A7DC794"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Направление деятельности</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5E462A"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Научно-проектная терминология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9B6AB73" w14:textId="1A468148"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Вклад </w:t>
            </w:r>
            <w:r w:rsidR="00AA78F5">
              <w:rPr>
                <w:rFonts w:ascii="Calibri" w:eastAsia="Google Sans Text" w:hAnsi="Calibri" w:cs="Calibri"/>
                <w:color w:val="1B1C1D"/>
              </w:rPr>
              <w:t xml:space="preserve">NUCON DOO </w:t>
            </w:r>
          </w:p>
        </w:tc>
      </w:tr>
      <w:tr w:rsidR="00B332C2" w:rsidRPr="00DF2008" w14:paraId="6D396FBE"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D2EEF8"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Контроль проектирования</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2674FE"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Аудит Зрелости Проектного Решения (Design Maturity Audit)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562E007"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Экспертные консультации по </w:t>
            </w:r>
            <w:r w:rsidRPr="00DF2008">
              <w:rPr>
                <w:rFonts w:ascii="Calibri" w:eastAsia="Google Sans Text" w:hAnsi="Calibri" w:cs="Calibri"/>
                <w:b/>
                <w:color w:val="1B1C1D"/>
              </w:rPr>
              <w:t>контролю графиков проектирования</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расходованию ресурсов</w:t>
            </w:r>
            <w:r w:rsidRPr="00DF2008">
              <w:rPr>
                <w:rFonts w:ascii="Calibri" w:eastAsia="Google Sans Text" w:hAnsi="Calibri" w:cs="Calibri"/>
                <w:color w:val="1B1C1D"/>
              </w:rPr>
              <w:t xml:space="preserve">. Проведение технической экспертизы базового проекта с точки зрения </w:t>
            </w:r>
            <w:r w:rsidRPr="00DF2008">
              <w:rPr>
                <w:rFonts w:ascii="Calibri" w:eastAsia="Google Sans Text" w:hAnsi="Calibri" w:cs="Calibri"/>
                <w:b/>
                <w:color w:val="1B1C1D"/>
              </w:rPr>
              <w:t xml:space="preserve">Технологической Готовности </w:t>
            </w:r>
            <w:r w:rsidRPr="00DF2008">
              <w:rPr>
                <w:rFonts w:ascii="Calibri" w:eastAsia="Google Sans Text" w:hAnsi="Calibri" w:cs="Calibri"/>
                <w:b/>
                <w:color w:val="1B1C1D"/>
              </w:rPr>
              <w:lastRenderedPageBreak/>
              <w:t>(Technology Readiness Level - TRL)</w:t>
            </w:r>
            <w:r w:rsidRPr="00DF2008">
              <w:rPr>
                <w:rFonts w:ascii="Calibri" w:eastAsia="Google Sans Text" w:hAnsi="Calibri" w:cs="Calibri"/>
                <w:color w:val="1B1C1D"/>
              </w:rPr>
              <w:t xml:space="preserve"> и соответствия требованиям </w:t>
            </w:r>
            <w:r w:rsidRPr="00DF2008">
              <w:rPr>
                <w:rFonts w:ascii="Calibri" w:eastAsia="Google Sans Text" w:hAnsi="Calibri" w:cs="Calibri"/>
                <w:b/>
                <w:color w:val="1B1C1D"/>
              </w:rPr>
              <w:t>Безопасности и Эксплуатационной Пригодности</w:t>
            </w:r>
            <w:r w:rsidRPr="00DF2008">
              <w:rPr>
                <w:rFonts w:ascii="Calibri" w:eastAsia="Google Sans Text" w:hAnsi="Calibri" w:cs="Calibri"/>
                <w:color w:val="1B1C1D"/>
              </w:rPr>
              <w:t>.</w:t>
            </w:r>
          </w:p>
        </w:tc>
      </w:tr>
      <w:tr w:rsidR="00B332C2" w:rsidRPr="00DF2008" w14:paraId="32432E88"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F80BEE3"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lastRenderedPageBreak/>
              <w:t>Сметная оценка и бюджет</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27F5D7"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Верификация Стоимостной Базы Проекта (Cost Baseline Verification)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0EF7BF"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b/>
                <w:color w:val="1B1C1D"/>
              </w:rPr>
              <w:t>Анализ инвестиционного бюджета</w:t>
            </w:r>
            <w:r w:rsidRPr="00DF2008">
              <w:rPr>
                <w:rFonts w:ascii="Calibri" w:eastAsia="Google Sans Text" w:hAnsi="Calibri" w:cs="Calibri"/>
                <w:color w:val="1B1C1D"/>
              </w:rPr>
              <w:t xml:space="preserve">, </w:t>
            </w:r>
            <w:r w:rsidRPr="00DF2008">
              <w:rPr>
                <w:rFonts w:ascii="Calibri" w:eastAsia="Google Sans Text" w:hAnsi="Calibri" w:cs="Calibri"/>
                <w:b/>
                <w:color w:val="1B1C1D"/>
              </w:rPr>
              <w:t>моделирование затрат (Cost Modeling)</w:t>
            </w:r>
            <w:r w:rsidRPr="00DF2008">
              <w:rPr>
                <w:rFonts w:ascii="Calibri" w:eastAsia="Google Sans Text" w:hAnsi="Calibri" w:cs="Calibri"/>
                <w:color w:val="1B1C1D"/>
              </w:rPr>
              <w:t xml:space="preserve"> и </w:t>
            </w:r>
            <w:r w:rsidRPr="00DF2008">
              <w:rPr>
                <w:rFonts w:ascii="Calibri" w:eastAsia="Google Sans Text" w:hAnsi="Calibri" w:cs="Calibri"/>
                <w:b/>
                <w:color w:val="1B1C1D"/>
              </w:rPr>
              <w:t>прогнозирование</w:t>
            </w:r>
            <w:r w:rsidRPr="00DF2008">
              <w:rPr>
                <w:rFonts w:ascii="Calibri" w:eastAsia="Google Sans Text" w:hAnsi="Calibri" w:cs="Calibri"/>
                <w:color w:val="1B1C1D"/>
              </w:rPr>
              <w:t xml:space="preserve"> с целью </w:t>
            </w:r>
            <w:r w:rsidRPr="00DF2008">
              <w:rPr>
                <w:rFonts w:ascii="Calibri" w:eastAsia="Google Sans Text" w:hAnsi="Calibri" w:cs="Calibri"/>
                <w:b/>
                <w:color w:val="1B1C1D"/>
              </w:rPr>
              <w:t>оптимизации CAPEX</w:t>
            </w:r>
            <w:r w:rsidRPr="00DF2008">
              <w:rPr>
                <w:rFonts w:ascii="Calibri" w:eastAsia="Google Sans Text" w:hAnsi="Calibri" w:cs="Calibri"/>
                <w:color w:val="1B1C1D"/>
              </w:rPr>
              <w:t xml:space="preserve">. Это критически важно для фиксации бюджета до получения </w:t>
            </w:r>
            <w:r w:rsidRPr="00DF2008">
              <w:rPr>
                <w:rFonts w:ascii="Calibri" w:eastAsia="Google Sans Text" w:hAnsi="Calibri" w:cs="Calibri"/>
                <w:b/>
                <w:color w:val="1B1C1D"/>
              </w:rPr>
              <w:t>Окончательного Инвестиционного Решения (Final Investment Decision - FID)</w:t>
            </w:r>
            <w:r w:rsidRPr="00DF2008">
              <w:rPr>
                <w:rFonts w:ascii="Calibri" w:eastAsia="Google Sans Text" w:hAnsi="Calibri" w:cs="Calibri"/>
                <w:color w:val="1B1C1D"/>
              </w:rPr>
              <w:t>.</w:t>
            </w:r>
          </w:p>
        </w:tc>
      </w:tr>
      <w:tr w:rsidR="00B332C2" w:rsidRPr="00DF2008" w14:paraId="4FB55801" w14:textId="77777777" w:rsidTr="00EC2DA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5CF092"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Технологический Трансфер</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85F0B9" w14:textId="77777777"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b/>
                <w:color w:val="1B1C1D"/>
              </w:rPr>
            </w:pPr>
            <w:r w:rsidRPr="00DF2008">
              <w:rPr>
                <w:rFonts w:ascii="Calibri" w:eastAsia="Google Sans Text" w:hAnsi="Calibri" w:cs="Calibri"/>
                <w:b/>
                <w:color w:val="1B1C1D"/>
              </w:rPr>
              <w:t>Фасилитация Интеграции Технологических Линий (Facilitation of Technology Line Integration)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70C153" w14:textId="5D8BC23F" w:rsidR="00B332C2" w:rsidRPr="00DF2008" w:rsidRDefault="00B332C2" w:rsidP="00DF2008">
            <w:pPr>
              <w:pBdr>
                <w:top w:val="nil"/>
                <w:left w:val="nil"/>
                <w:bottom w:val="nil"/>
                <w:right w:val="nil"/>
                <w:between w:val="nil"/>
              </w:pBdr>
              <w:spacing w:before="120" w:after="120" w:line="275" w:lineRule="auto"/>
              <w:jc w:val="both"/>
              <w:rPr>
                <w:rFonts w:ascii="Calibri" w:eastAsia="Google Sans Text" w:hAnsi="Calibri" w:cs="Calibri"/>
                <w:color w:val="1B1C1D"/>
              </w:rPr>
            </w:pPr>
            <w:r w:rsidRPr="00DF2008">
              <w:rPr>
                <w:rFonts w:ascii="Calibri" w:eastAsia="Google Sans Text" w:hAnsi="Calibri" w:cs="Calibri"/>
                <w:color w:val="1B1C1D"/>
              </w:rPr>
              <w:t xml:space="preserve">Благодаря уникальной экспертизе с технологиями </w:t>
            </w:r>
            <w:r w:rsidRPr="00DF2008">
              <w:rPr>
                <w:rFonts w:ascii="Calibri" w:eastAsia="Google Sans Text" w:hAnsi="Calibri" w:cs="Calibri"/>
                <w:b/>
                <w:color w:val="1B1C1D"/>
              </w:rPr>
              <w:t>ВВЭР (Росатом)</w:t>
            </w:r>
            <w:r w:rsidRPr="00DF2008">
              <w:rPr>
                <w:rFonts w:ascii="Calibri" w:eastAsia="Google Sans Text" w:hAnsi="Calibri" w:cs="Calibri"/>
                <w:color w:val="1B1C1D"/>
              </w:rPr>
              <w:t xml:space="preserve">, </w:t>
            </w:r>
            <w:r w:rsidR="00AA78F5">
              <w:rPr>
                <w:rFonts w:ascii="Calibri" w:eastAsia="Google Sans Text" w:hAnsi="Calibri" w:cs="Calibri"/>
                <w:color w:val="1B1C1D"/>
              </w:rPr>
              <w:t xml:space="preserve">NUCON DOO </w:t>
            </w:r>
            <w:r w:rsidRPr="00DF2008">
              <w:rPr>
                <w:rFonts w:ascii="Calibri" w:eastAsia="Google Sans Text" w:hAnsi="Calibri" w:cs="Calibri"/>
                <w:color w:val="1B1C1D"/>
              </w:rPr>
              <w:t xml:space="preserve"> выступает как </w:t>
            </w:r>
            <w:r w:rsidRPr="00DF2008">
              <w:rPr>
                <w:rFonts w:ascii="Calibri" w:eastAsia="Google Sans Text" w:hAnsi="Calibri" w:cs="Calibri"/>
                <w:b/>
                <w:color w:val="1B1C1D"/>
              </w:rPr>
              <w:t>интерфейс между Заказчиком и Вендором</w:t>
            </w:r>
            <w:r w:rsidRPr="00DF2008">
              <w:rPr>
                <w:rFonts w:ascii="Calibri" w:eastAsia="Google Sans Text" w:hAnsi="Calibri" w:cs="Calibri"/>
                <w:color w:val="1B1C1D"/>
              </w:rPr>
              <w:t xml:space="preserve">, обеспечивая эффективный </w:t>
            </w:r>
            <w:r w:rsidRPr="00DF2008">
              <w:rPr>
                <w:rFonts w:ascii="Calibri" w:eastAsia="Google Sans Text" w:hAnsi="Calibri" w:cs="Calibri"/>
                <w:b/>
                <w:color w:val="1B1C1D"/>
              </w:rPr>
              <w:t>трансфер технологий</w:t>
            </w:r>
            <w:r w:rsidRPr="00DF2008">
              <w:rPr>
                <w:rFonts w:ascii="Calibri" w:eastAsia="Google Sans Text" w:hAnsi="Calibri" w:cs="Calibri"/>
                <w:color w:val="1B1C1D"/>
              </w:rPr>
              <w:t xml:space="preserve"> и адаптацию проектных решений к локальным условиям.</w:t>
            </w:r>
          </w:p>
        </w:tc>
      </w:tr>
    </w:tbl>
    <w:p w14:paraId="1AC4476F" w14:textId="20D99DBE" w:rsidR="00B320B8" w:rsidRDefault="00AA78F5" w:rsidP="00B320B8">
      <w:pPr>
        <w:pBdr>
          <w:top w:val="nil"/>
          <w:left w:val="nil"/>
          <w:bottom w:val="nil"/>
          <w:right w:val="nil"/>
          <w:between w:val="nil"/>
        </w:pBdr>
        <w:spacing w:before="120" w:after="120" w:line="275" w:lineRule="auto"/>
        <w:jc w:val="both"/>
        <w:rPr>
          <w:rFonts w:ascii="Calibri" w:eastAsia="Google Sans Text" w:hAnsi="Calibri" w:cs="Calibri"/>
          <w:color w:val="1B1C1D"/>
        </w:rPr>
      </w:pPr>
      <w:r>
        <w:rPr>
          <w:rFonts w:ascii="Calibri" w:eastAsia="Google Sans Text" w:hAnsi="Calibri" w:cs="Calibri"/>
          <w:color w:val="1B1C1D"/>
        </w:rPr>
        <w:t xml:space="preserve">NUCON DOO </w:t>
      </w:r>
      <w:r w:rsidR="00B320B8" w:rsidRPr="00DF2008">
        <w:rPr>
          <w:rFonts w:ascii="Calibri" w:eastAsia="Google Sans Text" w:hAnsi="Calibri" w:cs="Calibri"/>
          <w:color w:val="1B1C1D"/>
        </w:rPr>
        <w:t xml:space="preserve"> на ранних этапах проекта обеспечивает </w:t>
      </w:r>
      <w:r w:rsidR="00B320B8" w:rsidRPr="00DF2008">
        <w:rPr>
          <w:rFonts w:ascii="Calibri" w:eastAsia="Google Sans Text" w:hAnsi="Calibri" w:cs="Calibri"/>
          <w:b/>
          <w:color w:val="1B1C1D"/>
        </w:rPr>
        <w:t>преемственность институциональной памяти</w:t>
      </w:r>
      <w:r w:rsidR="00B320B8" w:rsidRPr="00DF2008">
        <w:rPr>
          <w:rFonts w:ascii="Calibri" w:eastAsia="Google Sans Text" w:hAnsi="Calibri" w:cs="Calibri"/>
          <w:color w:val="1B1C1D"/>
        </w:rPr>
        <w:t xml:space="preserve"> атомной отрасли, переводя исторический опыт в </w:t>
      </w:r>
      <w:r w:rsidR="00B320B8" w:rsidRPr="00DF2008">
        <w:rPr>
          <w:rFonts w:ascii="Calibri" w:eastAsia="Google Sans Text" w:hAnsi="Calibri" w:cs="Calibri"/>
          <w:b/>
          <w:color w:val="1B1C1D"/>
        </w:rPr>
        <w:t>проактивное управление ресурсами и рисками</w:t>
      </w:r>
      <w:r w:rsidR="00B320B8" w:rsidRPr="00DF2008">
        <w:rPr>
          <w:rFonts w:ascii="Calibri" w:eastAsia="Google Sans Text" w:hAnsi="Calibri" w:cs="Calibri"/>
          <w:color w:val="1B1C1D"/>
        </w:rPr>
        <w:t>, что является ключевым фактором для соблюдения сроков и бюджета мегапроектов</w:t>
      </w:r>
    </w:p>
    <w:p w14:paraId="7AFE09CF" w14:textId="30BD8EFF" w:rsidR="00B332C2" w:rsidRPr="00DF2008" w:rsidRDefault="00AA78F5" w:rsidP="00B320B8">
      <w:pPr>
        <w:pBdr>
          <w:top w:val="nil"/>
          <w:left w:val="nil"/>
          <w:bottom w:val="nil"/>
          <w:right w:val="nil"/>
          <w:between w:val="nil"/>
        </w:pBdr>
        <w:spacing w:before="120" w:after="120" w:line="275" w:lineRule="auto"/>
        <w:jc w:val="both"/>
        <w:rPr>
          <w:rFonts w:ascii="Calibri" w:eastAsia="Google Sans Text" w:hAnsi="Calibri" w:cs="Calibri"/>
          <w:color w:val="1B1C1D"/>
        </w:rPr>
      </w:pPr>
      <w:r>
        <w:rPr>
          <w:rFonts w:ascii="Calibri" w:eastAsia="Google Sans Text" w:hAnsi="Calibri" w:cs="Calibri"/>
          <w:color w:val="1B1C1D"/>
        </w:rPr>
        <w:t xml:space="preserve">NUCON DOO </w:t>
      </w:r>
      <w:r w:rsidR="00B332C2" w:rsidRPr="00DF2008">
        <w:rPr>
          <w:rFonts w:ascii="Calibri" w:eastAsia="Google Sans Text" w:hAnsi="Calibri" w:cs="Calibri"/>
          <w:color w:val="1B1C1D"/>
        </w:rPr>
        <w:t xml:space="preserve"> функционирует как </w:t>
      </w:r>
      <w:r w:rsidR="00B332C2" w:rsidRPr="00DF2008">
        <w:rPr>
          <w:rFonts w:ascii="Calibri" w:eastAsia="Google Sans Text" w:hAnsi="Calibri" w:cs="Calibri"/>
          <w:b/>
          <w:color w:val="1B1C1D"/>
        </w:rPr>
        <w:t>системный интегратор</w:t>
      </w:r>
      <w:r w:rsidR="00B332C2" w:rsidRPr="00DF2008">
        <w:rPr>
          <w:rFonts w:ascii="Calibri" w:eastAsia="Google Sans Text" w:hAnsi="Calibri" w:cs="Calibri"/>
          <w:color w:val="1B1C1D"/>
        </w:rPr>
        <w:t xml:space="preserve">, который </w:t>
      </w:r>
      <w:r w:rsidR="00B332C2" w:rsidRPr="00DF2008">
        <w:rPr>
          <w:rFonts w:ascii="Calibri" w:eastAsia="Google Sans Text" w:hAnsi="Calibri" w:cs="Calibri"/>
          <w:b/>
          <w:color w:val="1B1C1D"/>
        </w:rPr>
        <w:t>трансформирует стратегические намерения Заказчика в технически обоснованную и финансово верифицированную проектную базу</w:t>
      </w:r>
      <w:r w:rsidR="00B332C2" w:rsidRPr="00DF2008">
        <w:rPr>
          <w:rFonts w:ascii="Calibri" w:eastAsia="Google Sans Text" w:hAnsi="Calibri" w:cs="Calibri"/>
          <w:color w:val="1B1C1D"/>
        </w:rPr>
        <w:t xml:space="preserve">, снижая </w:t>
      </w:r>
      <w:r w:rsidR="00B332C2" w:rsidRPr="00DF2008">
        <w:rPr>
          <w:rFonts w:ascii="Calibri" w:eastAsia="Google Sans Text" w:hAnsi="Calibri" w:cs="Calibri"/>
          <w:b/>
          <w:color w:val="1B1C1D"/>
        </w:rPr>
        <w:t>первоначальный риск (First-of-a-Kind Risk)</w:t>
      </w:r>
      <w:r w:rsidR="00B332C2" w:rsidRPr="00DF2008">
        <w:rPr>
          <w:rFonts w:ascii="Calibri" w:eastAsia="Google Sans Text" w:hAnsi="Calibri" w:cs="Calibri"/>
          <w:color w:val="1B1C1D"/>
        </w:rPr>
        <w:t xml:space="preserve"> и обеспечивая </w:t>
      </w:r>
      <w:r w:rsidR="00B332C2" w:rsidRPr="00DF2008">
        <w:rPr>
          <w:rFonts w:ascii="Calibri" w:eastAsia="Google Sans Text" w:hAnsi="Calibri" w:cs="Calibri"/>
          <w:b/>
          <w:color w:val="1B1C1D"/>
        </w:rPr>
        <w:t>конфигурационное управление (Configuration Management)</w:t>
      </w:r>
      <w:r w:rsidR="00B332C2" w:rsidRPr="00DF2008">
        <w:rPr>
          <w:rFonts w:ascii="Calibri" w:eastAsia="Google Sans Text" w:hAnsi="Calibri" w:cs="Calibri"/>
          <w:color w:val="1B1C1D"/>
        </w:rPr>
        <w:t xml:space="preserve"> на самых ранних стадиях мегапроекта.</w:t>
      </w:r>
    </w:p>
    <w:p w14:paraId="45144E38" w14:textId="15746981" w:rsidR="0051239D" w:rsidRPr="00DF2008" w:rsidRDefault="00000000" w:rsidP="00DF2008">
      <w:pPr>
        <w:pBdr>
          <w:top w:val="nil"/>
          <w:left w:val="nil"/>
          <w:bottom w:val="nil"/>
          <w:right w:val="nil"/>
          <w:between w:val="nil"/>
        </w:pBdr>
        <w:spacing w:before="480" w:after="240" w:line="275" w:lineRule="auto"/>
        <w:jc w:val="both"/>
        <w:rPr>
          <w:rFonts w:ascii="Calibri" w:eastAsia="Google Sans Text" w:hAnsi="Calibri" w:cs="Calibri"/>
          <w:color w:val="1B1C1D"/>
        </w:rPr>
      </w:pPr>
      <w:r w:rsidRPr="00DF2008">
        <w:rPr>
          <w:rFonts w:ascii="Calibri" w:eastAsia="Google Sans Text" w:hAnsi="Calibri" w:cs="Calibri"/>
          <w:color w:val="1B1C1D"/>
        </w:rPr>
        <w:t>.</w:t>
      </w:r>
    </w:p>
    <w:p w14:paraId="01FF78DA" w14:textId="77777777" w:rsidR="00DF2008" w:rsidRPr="00DF2008" w:rsidRDefault="00DF2008">
      <w:pPr>
        <w:pBdr>
          <w:top w:val="nil"/>
          <w:left w:val="nil"/>
          <w:bottom w:val="nil"/>
          <w:right w:val="nil"/>
          <w:between w:val="nil"/>
        </w:pBdr>
        <w:spacing w:before="480" w:after="240" w:line="275" w:lineRule="auto"/>
        <w:jc w:val="both"/>
        <w:rPr>
          <w:rFonts w:ascii="Calibri" w:eastAsia="Google Sans Text" w:hAnsi="Calibri" w:cs="Calibri"/>
          <w:color w:val="1B1C1D"/>
        </w:rPr>
      </w:pPr>
    </w:p>
    <w:sectPr w:rsidR="00DF2008" w:rsidRPr="00DF2008">
      <w:headerReference w:type="even" r:id="rId6"/>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865C6" w14:textId="77777777" w:rsidR="00314278" w:rsidRDefault="00314278" w:rsidP="003738DA">
      <w:r>
        <w:separator/>
      </w:r>
    </w:p>
  </w:endnote>
  <w:endnote w:type="continuationSeparator" w:id="0">
    <w:p w14:paraId="4C2F693A" w14:textId="77777777" w:rsidR="00314278" w:rsidRDefault="00314278" w:rsidP="0037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0C8340C-8894-9F4C-83AA-B594E4F6BB86}"/>
    <w:embedBold r:id="rId2" w:fontKey="{6A5D6E98-0861-B74B-A940-73BA4A63C6FE}"/>
  </w:font>
  <w:font w:name="Times New Roman">
    <w:panose1 w:val="02020603050405020304"/>
    <w:charset w:val="00"/>
    <w:family w:val="roman"/>
    <w:pitch w:val="variable"/>
    <w:sig w:usb0="E0002EFF" w:usb1="C000785B" w:usb2="00000009" w:usb3="00000000" w:csb0="000001FF" w:csb1="00000000"/>
    <w:embedRegular r:id="rId3" w:fontKey="{5A2BF31C-FA71-EC40-ABDD-F39345FDC444}"/>
  </w:font>
  <w:font w:name="Georgia">
    <w:panose1 w:val="02040502050405020303"/>
    <w:charset w:val="00"/>
    <w:family w:val="roman"/>
    <w:pitch w:val="variable"/>
    <w:sig w:usb0="00000287" w:usb1="00000000" w:usb2="00000000" w:usb3="00000000" w:csb0="0000009F" w:csb1="00000000"/>
    <w:embedRegular r:id="rId4" w:fontKey="{E9D2DF5A-DE31-5742-9932-B14E73A0493B}"/>
    <w:embedItalic r:id="rId5" w:fontKey="{A6FC03D5-C83E-F543-9F92-06184164A7DE}"/>
  </w:font>
  <w:font w:name="Calibri">
    <w:panose1 w:val="020F0502020204030204"/>
    <w:charset w:val="00"/>
    <w:family w:val="swiss"/>
    <w:pitch w:val="variable"/>
    <w:sig w:usb0="E4002EFF" w:usb1="C200247B" w:usb2="00000009" w:usb3="00000000" w:csb0="000001FF" w:csb1="00000000"/>
    <w:embedRegular r:id="rId6" w:fontKey="{ACD1E2E9-C771-DE45-BD9A-A2D064968478}"/>
    <w:embedBold r:id="rId7" w:fontKey="{A0DE0E54-3E05-4C47-8645-354754C52D36}"/>
  </w:font>
  <w:font w:name="Google Sans Text">
    <w:altName w:val="Calibri"/>
    <w:panose1 w:val="020B0604020202020204"/>
    <w:charset w:val="00"/>
    <w:family w:val="auto"/>
    <w:pitch w:val="default"/>
    <w:embedBold r:id="rId9" w:fontKey="{1C4D47C2-7E9F-984A-9B6B-8DE88F55CB23}"/>
  </w:font>
  <w:font w:name="Google Sans">
    <w:altName w:val="Calibri"/>
    <w:panose1 w:val="020B0604020202020204"/>
    <w:charset w:val="00"/>
    <w:family w:val="auto"/>
    <w:pitch w:val="default"/>
    <w:embedBold r:id="rId10" w:fontKey="{BDDAB737-FD79-FF49-9ABB-412F03A0FE1D}"/>
  </w:font>
  <w:font w:name="Calibri Light">
    <w:panose1 w:val="020F0302020204030204"/>
    <w:charset w:val="00"/>
    <w:family w:val="swiss"/>
    <w:pitch w:val="variable"/>
    <w:sig w:usb0="E0002AFF" w:usb1="C000247B" w:usb2="00000009" w:usb3="00000000" w:csb0="000001FF" w:csb1="00000000"/>
    <w:embedRegular r:id="rId11" w:fontKey="{9849FF40-B37F-6C4E-A56F-AC6687DFD21B}"/>
  </w:font>
  <w:font w:name="Cambria">
    <w:panose1 w:val="02040503050406030204"/>
    <w:charset w:val="00"/>
    <w:family w:val="roman"/>
    <w:pitch w:val="variable"/>
    <w:sig w:usb0="E00006FF" w:usb1="420024FF" w:usb2="02000000" w:usb3="00000000" w:csb0="0000019F" w:csb1="00000000"/>
    <w:embedRegular r:id="rId12" w:fontKey="{FDB1C2D7-5F3F-6F49-9BDD-FD57E41A44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AB33" w14:textId="77777777" w:rsidR="003738DA" w:rsidRPr="00177B08" w:rsidRDefault="003738DA" w:rsidP="003738DA">
    <w:pPr>
      <w:ind w:right="360"/>
      <w:jc w:val="both"/>
      <w:rPr>
        <w:rFonts w:ascii="Calibri Light" w:eastAsia="Times New Roman" w:hAnsi="Calibri Light" w:cs="Calibri Light"/>
        <w:sz w:val="16"/>
        <w:szCs w:val="16"/>
        <w:lang w:val="en-US"/>
      </w:rPr>
    </w:pPr>
    <w:r w:rsidRPr="00177B08">
      <w:rPr>
        <w:rFonts w:ascii="Calibri Light" w:eastAsia="Times New Roman" w:hAnsi="Calibri Light" w:cs="Calibri Light"/>
        <w:sz w:val="16"/>
        <w:szCs w:val="16"/>
        <w:lang w:val="en-US"/>
      </w:rPr>
      <w:t>Legal Disclaimer | Privacy Policy</w:t>
    </w:r>
  </w:p>
  <w:p w14:paraId="5FF85E31" w14:textId="05E7F487" w:rsidR="003738DA" w:rsidRPr="003738DA" w:rsidRDefault="003738DA" w:rsidP="003738DA">
    <w:pPr>
      <w:pStyle w:val="a9"/>
      <w:ind w:right="360"/>
      <w:rPr>
        <w:lang w:val="en-US"/>
      </w:rPr>
    </w:pPr>
    <w:r w:rsidRPr="00177B08">
      <w:rPr>
        <w:rFonts w:ascii="Calibri Light" w:eastAsia="Times New Roman" w:hAnsi="Calibri Light" w:cs="Calibri Light"/>
        <w:sz w:val="16"/>
        <w:szCs w:val="16"/>
        <w:lang w:val="en-US"/>
      </w:rPr>
      <w:t xml:space="preserve">© Copyright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xml:space="preserve"> </w:t>
    </w:r>
    <w:r w:rsidRPr="00815D3A">
      <w:rPr>
        <w:rFonts w:ascii="Calibri Light" w:eastAsia="Times New Roman" w:hAnsi="Calibri Light" w:cs="Calibri Light"/>
        <w:sz w:val="16"/>
        <w:szCs w:val="16"/>
        <w:lang w:val="en-US"/>
      </w:rPr>
      <w:t>CONSULTING BUREAU BEOGRAD</w:t>
    </w:r>
    <w:r w:rsidRPr="00177B08">
      <w:rPr>
        <w:rFonts w:ascii="Calibri Light" w:eastAsia="Times New Roman" w:hAnsi="Calibri Light" w:cs="Calibri Light"/>
        <w:sz w:val="16"/>
        <w:szCs w:val="16"/>
        <w:lang w:val="en-US"/>
      </w:rPr>
      <w:t>, 202</w:t>
    </w:r>
    <w:r>
      <w:rPr>
        <w:rFonts w:ascii="Calibri Light" w:eastAsia="Times New Roman" w:hAnsi="Calibri Light" w:cs="Calibri Light"/>
        <w:sz w:val="16"/>
        <w:szCs w:val="16"/>
        <w:lang w:val="en-US"/>
      </w:rPr>
      <w:t>5</w:t>
    </w:r>
    <w:r w:rsidRPr="00177B08">
      <w:rPr>
        <w:rFonts w:ascii="Calibri Light" w:eastAsia="Times New Roman" w:hAnsi="Calibri Light" w:cs="Calibri Light"/>
        <w:sz w:val="16"/>
        <w:szCs w:val="16"/>
        <w:lang w:val="en-US"/>
      </w:rPr>
      <w:t xml:space="preserve">. All rights reserved. Reproduction, adaptation, or translation without permission is prohibited except as allowed under the international copyright laws. All the text, content, graphics, design, and other works are the copyrighted works of </w:t>
    </w:r>
    <w:r>
      <w:rPr>
        <w:rFonts w:ascii="Calibri Light" w:eastAsia="Times New Roman" w:hAnsi="Calibri Light" w:cs="Calibri Light"/>
        <w:sz w:val="16"/>
        <w:szCs w:val="16"/>
        <w:lang w:val="en-US"/>
      </w:rPr>
      <w:t>CONSILIO B</w:t>
    </w:r>
    <w:r w:rsidRPr="00177B08">
      <w:rPr>
        <w:rFonts w:ascii="Calibri Light" w:eastAsia="Times New Roman" w:hAnsi="Calibri Light" w:cs="Calibri Light"/>
        <w:sz w:val="16"/>
        <w:szCs w:val="16"/>
        <w:lang w:val="en-US"/>
      </w:rPr>
      <w:t>,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CF843" w14:textId="77777777" w:rsidR="00314278" w:rsidRDefault="00314278" w:rsidP="003738DA">
      <w:r>
        <w:separator/>
      </w:r>
    </w:p>
  </w:footnote>
  <w:footnote w:type="continuationSeparator" w:id="0">
    <w:p w14:paraId="43F40FA1" w14:textId="77777777" w:rsidR="00314278" w:rsidRDefault="00314278" w:rsidP="00373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1207913226"/>
      <w:docPartObj>
        <w:docPartGallery w:val="Page Numbers (Top of Page)"/>
        <w:docPartUnique/>
      </w:docPartObj>
    </w:sdtPr>
    <w:sdtContent>
      <w:p w14:paraId="28DE11F0" w14:textId="6E17D97F" w:rsidR="003738DA" w:rsidRDefault="003738DA" w:rsidP="003D1BE1">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rPr>
          <w:fldChar w:fldCharType="end"/>
        </w:r>
      </w:p>
    </w:sdtContent>
  </w:sdt>
  <w:p w14:paraId="54CCA403" w14:textId="77777777" w:rsidR="003738DA" w:rsidRDefault="003738DA" w:rsidP="003738DA">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b"/>
      </w:rPr>
      <w:id w:val="720942394"/>
      <w:docPartObj>
        <w:docPartGallery w:val="Page Numbers (Top of Page)"/>
        <w:docPartUnique/>
      </w:docPartObj>
    </w:sdtPr>
    <w:sdtContent>
      <w:p w14:paraId="5DC4BD75" w14:textId="74562328" w:rsidR="003738DA" w:rsidRDefault="003738DA" w:rsidP="003D1BE1">
        <w:pPr>
          <w:pStyle w:val="a7"/>
          <w:framePr w:wrap="none" w:vAnchor="text" w:hAnchor="margin" w:xAlign="right" w:y="1"/>
          <w:rPr>
            <w:rStyle w:val="ab"/>
          </w:rPr>
        </w:pPr>
        <w:r>
          <w:rPr>
            <w:rStyle w:val="ab"/>
          </w:rPr>
          <w:fldChar w:fldCharType="begin"/>
        </w:r>
        <w:r>
          <w:rPr>
            <w:rStyle w:val="ab"/>
          </w:rPr>
          <w:instrText xml:space="preserve"> PAGE </w:instrText>
        </w:r>
        <w:r>
          <w:rPr>
            <w:rStyle w:val="ab"/>
          </w:rPr>
          <w:fldChar w:fldCharType="separate"/>
        </w:r>
        <w:r>
          <w:rPr>
            <w:rStyle w:val="ab"/>
            <w:noProof/>
          </w:rPr>
          <w:t>1</w:t>
        </w:r>
        <w:r>
          <w:rPr>
            <w:rStyle w:val="ab"/>
          </w:rPr>
          <w:fldChar w:fldCharType="end"/>
        </w:r>
      </w:p>
    </w:sdtContent>
  </w:sdt>
  <w:p w14:paraId="72270CED" w14:textId="795B2618" w:rsidR="003738DA" w:rsidRDefault="003738DA" w:rsidP="003738DA">
    <w:pPr>
      <w:pStyle w:val="a7"/>
      <w:ind w:right="360"/>
    </w:pPr>
    <w:r w:rsidRPr="002D0DD2">
      <w:rPr>
        <w:noProof/>
      </w:rPr>
      <w:drawing>
        <wp:anchor distT="0" distB="0" distL="114300" distR="114300" simplePos="0" relativeHeight="251659264" behindDoc="0" locked="0" layoutInCell="1" allowOverlap="1" wp14:anchorId="38D15C0F" wp14:editId="75AC5203">
          <wp:simplePos x="0" y="0"/>
          <wp:positionH relativeFrom="column">
            <wp:posOffset>2024</wp:posOffset>
          </wp:positionH>
          <wp:positionV relativeFrom="paragraph">
            <wp:posOffset>400050</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39D"/>
    <w:rsid w:val="00314278"/>
    <w:rsid w:val="003738DA"/>
    <w:rsid w:val="0051239D"/>
    <w:rsid w:val="00603180"/>
    <w:rsid w:val="006C306A"/>
    <w:rsid w:val="00AA78F5"/>
    <w:rsid w:val="00B320B8"/>
    <w:rsid w:val="00B332C2"/>
    <w:rsid w:val="00DF2008"/>
    <w:rsid w:val="00E039D4"/>
    <w:rsid w:val="00FA4ACE"/>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C5A5"/>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BG"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semiHidden/>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styleId="a7">
    <w:name w:val="header"/>
    <w:basedOn w:val="a"/>
    <w:link w:val="a8"/>
    <w:uiPriority w:val="99"/>
    <w:unhideWhenUsed/>
    <w:rsid w:val="003738DA"/>
    <w:pPr>
      <w:tabs>
        <w:tab w:val="center" w:pos="4513"/>
        <w:tab w:val="right" w:pos="9026"/>
      </w:tabs>
    </w:pPr>
  </w:style>
  <w:style w:type="character" w:customStyle="1" w:styleId="a8">
    <w:name w:val="Верхний колонтитул Знак"/>
    <w:basedOn w:val="a0"/>
    <w:link w:val="a7"/>
    <w:uiPriority w:val="99"/>
    <w:rsid w:val="003738DA"/>
  </w:style>
  <w:style w:type="paragraph" w:styleId="a9">
    <w:name w:val="footer"/>
    <w:basedOn w:val="a"/>
    <w:link w:val="aa"/>
    <w:uiPriority w:val="99"/>
    <w:unhideWhenUsed/>
    <w:qFormat/>
    <w:rsid w:val="003738DA"/>
    <w:pPr>
      <w:tabs>
        <w:tab w:val="center" w:pos="4513"/>
        <w:tab w:val="right" w:pos="9026"/>
      </w:tabs>
    </w:pPr>
  </w:style>
  <w:style w:type="character" w:customStyle="1" w:styleId="aa">
    <w:name w:val="Нижний колонтитул Знак"/>
    <w:basedOn w:val="a0"/>
    <w:link w:val="a9"/>
    <w:uiPriority w:val="99"/>
    <w:rsid w:val="003738DA"/>
  </w:style>
  <w:style w:type="character" w:styleId="ab">
    <w:name w:val="page number"/>
    <w:basedOn w:val="a0"/>
    <w:uiPriority w:val="99"/>
    <w:semiHidden/>
    <w:unhideWhenUsed/>
    <w:rsid w:val="003738DA"/>
  </w:style>
  <w:style w:type="paragraph" w:styleId="20">
    <w:name w:val="toc 2"/>
    <w:basedOn w:val="a"/>
    <w:next w:val="a"/>
    <w:autoRedefine/>
    <w:uiPriority w:val="39"/>
    <w:unhideWhenUsed/>
    <w:rsid w:val="003738DA"/>
    <w:pPr>
      <w:spacing w:after="100"/>
      <w:ind w:left="220"/>
    </w:pPr>
  </w:style>
  <w:style w:type="character" w:styleId="ac">
    <w:name w:val="Hyperlink"/>
    <w:basedOn w:val="a0"/>
    <w:uiPriority w:val="99"/>
    <w:unhideWhenUsed/>
    <w:rsid w:val="00373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1068</Words>
  <Characters>6090</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2025-12-10T18:59:00Z</dcterms:created>
  <dcterms:modified xsi:type="dcterms:W3CDTF">2025-12-10T18:59:00Z</dcterms:modified>
</cp:coreProperties>
</file>