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A1420" w14:textId="52F25C37" w:rsidR="00B91833" w:rsidRPr="00B91833" w:rsidRDefault="00B91833" w:rsidP="00B91833">
      <w:pPr xmlns:w="http://schemas.openxmlformats.org/wordprocessingml/2006/main" xmlns:w14="http://schemas.microsoft.com/office/word/2010/wordml">
        <w:spacing w:after="120" w:line="240" w:lineRule="auto"/>
        <w:jc w:val="both"/>
        <w:outlineLvl w:val="0"/>
        <w:rPr>
          <w:rFonts w:ascii="Calibri" w:eastAsia="Times New Roman" w:hAnsi="Calibri" w:cs="Calibri"/>
          <w:b/>
          <w:bCs/>
          <w:color w:val="1F1F1F"/>
          <w:kern w:val="36"/>
          <w:sz w:val="40"/>
          <w:szCs w:val="32"/>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36"/>
          <w:sz w:val="40"/>
          <w:szCs w:val="32"/>
          <w:lang w:val="ru-BG" w:eastAsia="ru-RU"/>
          <w14:ligatures w14:val="none"/>
        </w:rPr>
        <w:t xml:space="preserve">Document Update. Serbia's Nuclear Revival: Policy, Partnerships, and Implementation Strategy (Status Report 2025–2026)</w:t>
      </w:r>
    </w:p>
    <w:p w14:paraId="67D4F24F" w14:textId="77777777" w:rsidR="00B91833" w:rsidRPr="00B91833" w:rsidRDefault="00B91833" w:rsidP="00B91833">
      <w:pPr>
        <w:spacing w:after="120" w:line="240" w:lineRule="auto"/>
        <w:jc w:val="both"/>
        <w:outlineLvl w:val="1"/>
        <w:rPr>
          <w:rFonts w:ascii="Calibri" w:eastAsia="Times New Roman" w:hAnsi="Calibri" w:cs="Calibri"/>
          <w:b/>
          <w:bCs/>
          <w:color w:val="1F1F1F"/>
          <w:kern w:val="0"/>
          <w:sz w:val="36"/>
          <w:szCs w:val="36"/>
          <w:lang w:val="ru-BG" w:eastAsia="ru-RU"/>
          <w14:ligatures w14:val="none"/>
        </w:rPr>
      </w:pPr>
    </w:p>
    <w:p w14:paraId="32051383" w14:textId="169B889F" w:rsidR="00B91833" w:rsidRPr="00B91833" w:rsidRDefault="00B91833" w:rsidP="00B91833">
      <w:pPr xmlns:w="http://schemas.openxmlformats.org/wordprocessingml/2006/main" xmlns:w14="http://schemas.microsoft.com/office/word/2010/wordml">
        <w:spacing w:after="120" w:line="240" w:lineRule="auto"/>
        <w:jc w:val="both"/>
        <w:outlineLvl w:val="1"/>
        <w:rPr>
          <w:rFonts w:ascii="Calibri" w:eastAsia="Times New Roman" w:hAnsi="Calibri" w:cs="Calibri"/>
          <w:b/>
          <w:bCs/>
          <w:color w:val="1F1F1F"/>
          <w:kern w:val="0"/>
          <w:sz w:val="36"/>
          <w:szCs w:val="36"/>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36"/>
          <w:szCs w:val="36"/>
          <w:lang w:val="ru-BG" w:eastAsia="ru-RU"/>
          <w14:ligatures w14:val="none"/>
        </w:rPr>
        <w:t xml:space="preserve">Introduction to the updated edition (2025–2026)</w:t>
      </w:r>
    </w:p>
    <w:p w14:paraId="07CA5A31" w14:textId="77777777" w:rsidR="00B91833" w:rsidRPr="00B91833" w:rsidRDefault="00B91833" w:rsidP="00B91833">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Over the past six months, the nuclear energy landscape in the Republic of Serbia has undergone fundamental changes, rapidly moving from the stage of strategic intentions to the stage of practical implementation. The lifting of the 35-year moratorium on nuclear power plant construction at the end of 2024 and the official launch of Phase 1 according to the IAEA methodology marked the beginning of a new era in the country's industrial policy.</w:t>
      </w:r>
    </w:p>
    <w:p w14:paraId="78F2B5DB" w14:textId="77777777" w:rsidR="00B91833" w:rsidRPr="00B91833" w:rsidRDefault="00B91833" w:rsidP="00B91833">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The initial program concepts, focused primarily on the long-term future of small modular reactors (SMRs), have evolved. Belgrade has now adopted a more pragmatic approach, expanding the target range to include the deployment of high-power units (1000–1650 MW). This has entailed a significant revision of the basic financial models—with initial capital expenditures estimated at approximately €3 billion—and the adoption of more aggressive preparation schedules. At the same time, competition among international vendors for participation in the Serbian project has intensified significantly, attracting key technology players from France, South Korea, and Russia.</w:t>
      </w:r>
    </w:p>
    <w:p w14:paraId="12378B45" w14:textId="77777777" w:rsidR="00B91833" w:rsidRPr="00B91833" w:rsidRDefault="00B91833" w:rsidP="00B91833">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However, the main challenge for Serbia in the coming decade (before the planned start of construction in 2035) is not so much the choice of reactor technology as bridging the institutional and infrastructural gap. The country's lack of practical experience in implementing nuclear projects for more than half a century makes the preparatory phase critical.</w:t>
      </w:r>
    </w:p>
    <w:p w14:paraId="304AEEF6" w14:textId="6F60A387" w:rsidR="00B91833" w:rsidRPr="00B91833" w:rsidRDefault="00B91833" w:rsidP="00B91833">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This updated report analyzes the current geopolitical, technological, and economic dynamics for 2025–2026. The document places particular emphasis on the engineering and construction sectors. Given the acute shortage of local expertise, the safety and success of the entire national program will directly depend on the involvement of highly qualified construction consulting. Effective project management, technical supervision, site preparation, and the adaptation of international projects to local realities are fundamental tasks that require professional engineering intervention well before the commissioning of facilities.</w:t>
      </w:r>
    </w:p>
    <w:p w14:paraId="282D2638" w14:textId="5D7466FE" w:rsidR="00D62A1D" w:rsidRDefault="00D62A1D">
      <w:pPr>
        <w:rPr>
          <w:rFonts w:ascii="Calibri" w:eastAsia="Times New Roman" w:hAnsi="Calibri" w:cs="Calibri"/>
          <w:b/>
          <w:bCs/>
          <w:color w:val="1F1F1F"/>
          <w:kern w:val="36"/>
          <w:sz w:val="48"/>
          <w:szCs w:val="48"/>
          <w:lang w:val="ru-BG" w:eastAsia="ru-RU"/>
          <w14:ligatures w14:val="none"/>
        </w:rPr>
      </w:pPr>
      <w:r>
        <w:rPr>
          <w:rFonts w:ascii="Calibri" w:eastAsia="Times New Roman" w:hAnsi="Calibri" w:cs="Calibri"/>
          <w:b/>
          <w:bCs/>
          <w:color w:val="1F1F1F"/>
          <w:kern w:val="36"/>
          <w:sz w:val="48"/>
          <w:szCs w:val="48"/>
          <w:lang w:val="ru-BG" w:eastAsia="ru-RU"/>
          <w14:ligatures w14:val="none"/>
        </w:rPr>
        <w:br w:type="page"/>
      </w:r>
    </w:p>
    <w:p w14:paraId="55A0090C" w14:textId="77777777" w:rsidR="00B91833" w:rsidRPr="00B91833" w:rsidRDefault="00B91833" w:rsidP="00B91833">
      <w:pPr>
        <w:spacing w:after="120" w:line="240" w:lineRule="auto"/>
        <w:jc w:val="both"/>
        <w:outlineLvl w:val="0"/>
        <w:rPr>
          <w:rFonts w:ascii="Calibri" w:eastAsia="Times New Roman" w:hAnsi="Calibri" w:cs="Calibri"/>
          <w:b/>
          <w:bCs/>
          <w:color w:val="1F1F1F"/>
          <w:kern w:val="36"/>
          <w:sz w:val="48"/>
          <w:szCs w:val="48"/>
          <w:lang w:val="ru-BG" w:eastAsia="ru-RU"/>
          <w14:ligatures w14:val="none"/>
        </w:rPr>
      </w:pPr>
    </w:p>
    <w:p w14:paraId="0042DC35" w14:textId="77777777" w:rsidR="00B91833" w:rsidRPr="00B91833" w:rsidRDefault="00B91833" w:rsidP="00B91833">
      <w:pPr xmlns:w="http://schemas.openxmlformats.org/wordprocessingml/2006/main" xmlns:w14="http://schemas.microsoft.com/office/word/2010/wordml">
        <w:spacing w:after="120" w:line="240" w:lineRule="auto"/>
        <w:jc w:val="both"/>
        <w:outlineLvl w:val="1"/>
        <w:rPr>
          <w:rFonts w:ascii="Calibri" w:eastAsia="Times New Roman" w:hAnsi="Calibri" w:cs="Calibri"/>
          <w:b/>
          <w:bCs/>
          <w:color w:val="1F1F1F"/>
          <w:kern w:val="0"/>
          <w:sz w:val="36"/>
          <w:szCs w:val="36"/>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36"/>
          <w:szCs w:val="36"/>
          <w:lang w:val="ru-BG" w:eastAsia="ru-RU"/>
          <w14:ligatures w14:val="none"/>
        </w:rPr>
        <w:t xml:space="preserve">I. Strategic Imperatives and Policy Framework</w:t>
      </w:r>
    </w:p>
    <w:p w14:paraId="200682CC" w14:textId="77777777" w:rsidR="00B91833" w:rsidRPr="00B91833" w:rsidRDefault="00B91833" w:rsidP="00B91833">
      <w:pPr xmlns:w="http://schemas.openxmlformats.org/wordprocessingml/2006/main" xmlns:w14="http://schemas.microsoft.com/office/word/2010/wordml">
        <w:spacing w:after="120" w:line="240" w:lineRule="auto"/>
        <w:jc w:val="both"/>
        <w:outlineLvl w:val="2"/>
        <w:rPr>
          <w:rFonts w:ascii="Calibri" w:eastAsia="Times New Roman" w:hAnsi="Calibri" w:cs="Calibri"/>
          <w:b/>
          <w:bCs/>
          <w:color w:val="1F1F1F"/>
          <w:kern w:val="0"/>
          <w:sz w:val="27"/>
          <w:szCs w:val="27"/>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27"/>
          <w:szCs w:val="27"/>
          <w:lang w:val="ru-BG" w:eastAsia="ru-RU"/>
          <w14:ligatures w14:val="none"/>
        </w:rPr>
        <w:t xml:space="preserve">A. Serbia's Energy Trilemma: The Case for Returning to the Atom</w:t>
      </w:r>
    </w:p>
    <w:p w14:paraId="34D47FAA" w14:textId="77777777" w:rsidR="00B91833" w:rsidRPr="00B91833" w:rsidRDefault="00B91833" w:rsidP="00B91833">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The Republic of Serbia's decision to revive its civilian nuclear program is a direct response to a pressing energy trilemma: security of supply, economic competitiveness, and carbon emission reduction goals. Serbia views nuclear energy as a key tool for ensuring strategic energy independence. Political leaders have repeatedly emphasized that without baseload nuclear power, the country will not be able to meet the growing demand associated with the development of new technologies and industry.</w:t>
      </w:r>
    </w:p>
    <w:p w14:paraId="57325D6B" w14:textId="77777777" w:rsidR="00B91833" w:rsidRPr="00B91833" w:rsidRDefault="00B91833" w:rsidP="00B91833">
      <w:pPr xmlns:w="http://schemas.openxmlformats.org/wordprocessingml/2006/main" xmlns:w14="http://schemas.microsoft.com/office/word/2010/wordml">
        <w:spacing w:after="120" w:line="240" w:lineRule="auto"/>
        <w:jc w:val="both"/>
        <w:outlineLvl w:val="2"/>
        <w:rPr>
          <w:rFonts w:ascii="Calibri" w:eastAsia="Times New Roman" w:hAnsi="Calibri" w:cs="Calibri"/>
          <w:b/>
          <w:bCs/>
          <w:color w:val="1F1F1F"/>
          <w:kern w:val="0"/>
          <w:sz w:val="27"/>
          <w:szCs w:val="27"/>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27"/>
          <w:szCs w:val="27"/>
          <w:lang w:val="ru-BG" w:eastAsia="ru-RU"/>
          <w14:ligatures w14:val="none"/>
        </w:rPr>
        <w:t xml:space="preserve">B. Legislative and Political Restructuring</w:t>
      </w:r>
    </w:p>
    <w:p w14:paraId="4236C8B5" w14:textId="77777777" w:rsidR="00B91833" w:rsidRPr="00B91833" w:rsidRDefault="00B91833" w:rsidP="00B91833">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A fundamental step legally enshrining the nuclear revival was the adoption of amendments to the Energy Law by the National Assembly of Serbia in November 2024. This act officially lifted the 35-year moratorium on nuclear power plant construction. Subsequently, a specialized Directorate for Nuclear Energy Development was established. In close cooperation with the IAEA and relevant European institutions, the development of an official state Program for the Development of Peaceful Nuclear Energy has begun, demonstrating a systematic approach to integration into the European regulatory framework.</w:t>
      </w:r>
    </w:p>
    <w:p w14:paraId="4ABEA4BD" w14:textId="77777777" w:rsidR="00B91833" w:rsidRPr="00B91833" w:rsidRDefault="00B91833" w:rsidP="00B91833">
      <w:pPr xmlns:w="http://schemas.openxmlformats.org/wordprocessingml/2006/main" xmlns:w14="http://schemas.microsoft.com/office/word/2010/wordml">
        <w:spacing w:after="120" w:line="240" w:lineRule="auto"/>
        <w:jc w:val="both"/>
        <w:outlineLvl w:val="2"/>
        <w:rPr>
          <w:rFonts w:ascii="Calibri" w:eastAsia="Times New Roman" w:hAnsi="Calibri" w:cs="Calibri"/>
          <w:b/>
          <w:bCs/>
          <w:color w:val="1F1F1F"/>
          <w:kern w:val="0"/>
          <w:sz w:val="27"/>
          <w:szCs w:val="27"/>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27"/>
          <w:szCs w:val="27"/>
          <w:lang w:val="ru-BG" w:eastAsia="ru-RU"/>
          <w14:ligatures w14:val="none"/>
        </w:rPr>
        <w:t xml:space="preserve">C. Policy Milestones (2024–2026)</w:t>
      </w:r>
    </w:p>
    <w:tbl>
      <w:tblPr>
        <w:tblStyle w:val="ae"/>
        <w:tblW w:w="0" w:type="auto"/>
        <w:tblLook w:val="04A0" w:firstRow="1" w:lastRow="0" w:firstColumn="1" w:lastColumn="0" w:noHBand="0" w:noVBand="1"/>
      </w:tblPr>
      <w:tblGrid>
        <w:gridCol w:w="1278"/>
        <w:gridCol w:w="4033"/>
        <w:gridCol w:w="3705"/>
      </w:tblGrid>
      <w:tr w:rsidR="00B91833" w:rsidRPr="00B91833" w14:paraId="2E5DB94A" w14:textId="77777777" w:rsidTr="00D62A1D">
        <w:trPr>
          <w:tblHeader/>
        </w:trPr>
        <w:tc>
          <w:tcPr>
            <w:tcW w:w="0" w:type="auto"/>
            <w:shd w:val="clear" w:color="auto" w:fill="DAE9F7" w:themeFill="text2" w:themeFillTint="1A"/>
            <w:hideMark/>
          </w:tcPr>
          <w:p w14:paraId="0EC2D076"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bdr w:val="none" w:sz="0" w:space="0" w:color="auto" w:frame="1"/>
                <w:lang w:val="ru-BG" w:eastAsia="ru-RU"/>
                <w14:ligatures w14:val="none"/>
              </w:rPr>
              <w:t xml:space="preserve">Date / Period</w:t>
            </w:r>
          </w:p>
        </w:tc>
        <w:tc>
          <w:tcPr>
            <w:tcW w:w="0" w:type="auto"/>
            <w:shd w:val="clear" w:color="auto" w:fill="DAE9F7" w:themeFill="text2" w:themeFillTint="1A"/>
            <w:hideMark/>
          </w:tcPr>
          <w:p w14:paraId="62C404A0"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bdr w:val="none" w:sz="0" w:space="0" w:color="auto" w:frame="1"/>
                <w:lang w:val="ru-BG" w:eastAsia="ru-RU"/>
                <w14:ligatures w14:val="none"/>
              </w:rPr>
              <w:t xml:space="preserve">Event Description</w:t>
            </w:r>
          </w:p>
        </w:tc>
        <w:tc>
          <w:tcPr>
            <w:tcW w:w="0" w:type="auto"/>
            <w:shd w:val="clear" w:color="auto" w:fill="DAE9F7" w:themeFill="text2" w:themeFillTint="1A"/>
            <w:hideMark/>
          </w:tcPr>
          <w:p w14:paraId="14F24C17"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bdr w:val="none" w:sz="0" w:space="0" w:color="auto" w:frame="1"/>
                <w:lang w:val="ru-BG" w:eastAsia="ru-RU"/>
                <w14:ligatures w14:val="none"/>
              </w:rPr>
              <w:t xml:space="preserve">Significance</w:t>
            </w:r>
          </w:p>
        </w:tc>
      </w:tr>
      <w:tr w:rsidR="00B91833" w:rsidRPr="00B91833" w14:paraId="5D5C5886" w14:textId="77777777" w:rsidTr="00B91833">
        <w:tc>
          <w:tcPr>
            <w:tcW w:w="0" w:type="auto"/>
            <w:hideMark/>
          </w:tcPr>
          <w:p w14:paraId="5C9A28CB"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bdr w:val="none" w:sz="0" w:space="0" w:color="auto" w:frame="1"/>
                <w:lang w:val="ru-BG" w:eastAsia="ru-RU"/>
                <w14:ligatures w14:val="none"/>
              </w:rPr>
              <w:t xml:space="preserve">November 2024</w:t>
            </w:r>
          </w:p>
        </w:tc>
        <w:tc>
          <w:tcPr>
            <w:tcW w:w="0" w:type="auto"/>
            <w:hideMark/>
          </w:tcPr>
          <w:p w14:paraId="211BD694"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bdr w:val="none" w:sz="0" w:space="0" w:color="auto" w:frame="1"/>
                <w:lang w:val="ru-BG" w:eastAsia="ru-RU"/>
                <w14:ligatures w14:val="none"/>
              </w:rPr>
              <w:t xml:space="preserve">National Assembly votes on amendments to the Energy Law.</w:t>
            </w:r>
          </w:p>
        </w:tc>
        <w:tc>
          <w:tcPr>
            <w:tcW w:w="0" w:type="auto"/>
            <w:hideMark/>
          </w:tcPr>
          <w:p w14:paraId="4403B5A5"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bdr w:val="none" w:sz="0" w:space="0" w:color="auto" w:frame="1"/>
                <w:lang w:val="ru-BG" w:eastAsia="ru-RU"/>
                <w14:ligatures w14:val="none"/>
              </w:rPr>
              <w:t xml:space="preserve">The 35-year moratorium on nuclear power plants has officially ended.</w:t>
            </w:r>
          </w:p>
        </w:tc>
      </w:tr>
      <w:tr w:rsidR="00B91833" w:rsidRPr="00B91833" w14:paraId="073C0E6F" w14:textId="77777777" w:rsidTr="00B91833">
        <w:tc>
          <w:tcPr>
            <w:tcW w:w="0" w:type="auto"/>
            <w:hideMark/>
          </w:tcPr>
          <w:p w14:paraId="3ABD07DD"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bdr w:val="none" w:sz="0" w:space="0" w:color="auto" w:frame="1"/>
                <w:lang w:val="ru-BG" w:eastAsia="ru-RU"/>
                <w14:ligatures w14:val="none"/>
              </w:rPr>
              <w:t xml:space="preserve">2025</w:t>
            </w:r>
          </w:p>
        </w:tc>
        <w:tc>
          <w:tcPr>
            <w:tcW w:w="0" w:type="auto"/>
            <w:hideMark/>
          </w:tcPr>
          <w:p w14:paraId="00E37471"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bdr w:val="none" w:sz="0" w:space="0" w:color="auto" w:frame="1"/>
                <w:lang w:val="ru-BG" w:eastAsia="ru-RU"/>
                <w14:ligatures w14:val="none"/>
              </w:rPr>
              <w:t xml:space="preserve">Completion of the Preliminary Technical Study (EDF/Egis).</w:t>
            </w:r>
          </w:p>
        </w:tc>
        <w:tc>
          <w:tcPr>
            <w:tcW w:w="0" w:type="auto"/>
            <w:hideMark/>
          </w:tcPr>
          <w:p w14:paraId="30F6CDA5"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bdr w:val="none" w:sz="0" w:space="0" w:color="auto" w:frame="1"/>
                <w:lang w:val="ru-BG" w:eastAsia="ru-RU"/>
                <w14:ligatures w14:val="none"/>
              </w:rPr>
              <w:t xml:space="preserve">Formation of basic technical and infrastructural contours of the program.</w:t>
            </w:r>
          </w:p>
        </w:tc>
      </w:tr>
      <w:tr w:rsidR="00B91833" w:rsidRPr="00B91833" w14:paraId="3A93CF42" w14:textId="77777777" w:rsidTr="00B91833">
        <w:tc>
          <w:tcPr>
            <w:tcW w:w="0" w:type="auto"/>
            <w:hideMark/>
          </w:tcPr>
          <w:p w14:paraId="26026EFC"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bdr w:val="none" w:sz="0" w:space="0" w:color="auto" w:frame="1"/>
                <w:lang w:val="ru-BG" w:eastAsia="ru-RU"/>
                <w14:ligatures w14:val="none"/>
              </w:rPr>
              <w:t xml:space="preserve">September 2025</w:t>
            </w:r>
          </w:p>
        </w:tc>
        <w:tc>
          <w:tcPr>
            <w:tcW w:w="0" w:type="auto"/>
            <w:hideMark/>
          </w:tcPr>
          <w:p w14:paraId="466893A6"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bdr w:val="none" w:sz="0" w:space="0" w:color="auto" w:frame="1"/>
                <w:lang w:val="ru-BG" w:eastAsia="ru-RU"/>
                <w14:ligatures w14:val="none"/>
              </w:rPr>
              <w:t xml:space="preserve">Signing of two Memorandums of Understanding with South Korea's KHNP.</w:t>
            </w:r>
          </w:p>
        </w:tc>
        <w:tc>
          <w:tcPr>
            <w:tcW w:w="0" w:type="auto"/>
            <w:hideMark/>
          </w:tcPr>
          <w:p w14:paraId="34F51E2F"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bdr w:val="none" w:sz="0" w:space="0" w:color="auto" w:frame="1"/>
                <w:lang w:val="ru-BG" w:eastAsia="ru-RU"/>
                <w14:ligatures w14:val="none"/>
              </w:rPr>
              <w:t xml:space="preserve">Expanding the pool of potential technology partners.</w:t>
            </w:r>
          </w:p>
        </w:tc>
      </w:tr>
      <w:tr w:rsidR="00B91833" w:rsidRPr="00B91833" w14:paraId="2C51E924" w14:textId="77777777" w:rsidTr="00B91833">
        <w:tc>
          <w:tcPr>
            <w:tcW w:w="0" w:type="auto"/>
            <w:hideMark/>
          </w:tcPr>
          <w:p w14:paraId="5382FD2E"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bdr w:val="none" w:sz="0" w:space="0" w:color="auto" w:frame="1"/>
                <w:lang w:val="ru-BG" w:eastAsia="ru-RU"/>
                <w14:ligatures w14:val="none"/>
              </w:rPr>
              <w:t xml:space="preserve">November 2025</w:t>
            </w:r>
          </w:p>
        </w:tc>
        <w:tc>
          <w:tcPr>
            <w:tcW w:w="0" w:type="auto"/>
            <w:hideMark/>
          </w:tcPr>
          <w:p w14:paraId="63379E42"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bdr w:val="none" w:sz="0" w:space="0" w:color="auto" w:frame="1"/>
                <w:lang w:val="ru-BG" w:eastAsia="ru-RU"/>
                <w14:ligatures w14:val="none"/>
              </w:rPr>
              <w:t xml:space="preserve">Signing of a Memorandum between the French EDF and the Serbian Vinča Institute.</w:t>
            </w:r>
          </w:p>
        </w:tc>
        <w:tc>
          <w:tcPr>
            <w:tcW w:w="0" w:type="auto"/>
            <w:hideMark/>
          </w:tcPr>
          <w:p w14:paraId="67BF2DEE"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bdr w:val="none" w:sz="0" w:space="0" w:color="auto" w:frame="1"/>
                <w:lang w:val="ru-BG" w:eastAsia="ru-RU"/>
                <w14:ligatures w14:val="none"/>
              </w:rPr>
              <w:t xml:space="preserve">Strengthening scientific and technical cooperation with France.</w:t>
            </w:r>
          </w:p>
        </w:tc>
      </w:tr>
      <w:tr w:rsidR="00B91833" w:rsidRPr="00B91833" w14:paraId="5E98E1DC" w14:textId="77777777" w:rsidTr="00B91833">
        <w:tc>
          <w:tcPr>
            <w:tcW w:w="0" w:type="auto"/>
            <w:hideMark/>
          </w:tcPr>
          <w:p w14:paraId="5D69D036"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bdr w:val="none" w:sz="0" w:space="0" w:color="auto" w:frame="1"/>
                <w:lang w:val="ru-BG" w:eastAsia="ru-RU"/>
                <w14:ligatures w14:val="none"/>
              </w:rPr>
              <w:lastRenderedPageBreak xmlns:w="http://schemas.openxmlformats.org/wordprocessingml/2006/main"/>
            </w:r>
            <w:r xmlns:w="http://schemas.openxmlformats.org/wordprocessingml/2006/main" xmlns:w14="http://schemas.microsoft.com/office/word/2010/wordml" w:rsidRPr="00B91833">
              <w:rPr>
                <w:rFonts w:ascii="Calibri" w:eastAsia="Times New Roman" w:hAnsi="Calibri" w:cs="Calibri"/>
                <w:b/>
                <w:bCs/>
                <w:color w:val="1F1F1F"/>
                <w:kern w:val="0"/>
                <w:bdr w:val="none" w:sz="0" w:space="0" w:color="auto" w:frame="1"/>
                <w:lang w:val="ru-BG" w:eastAsia="ru-RU"/>
                <w14:ligatures w14:val="none"/>
              </w:rPr>
              <w:t xml:space="preserve">February 2026</w:t>
            </w:r>
          </w:p>
        </w:tc>
        <w:tc>
          <w:tcPr>
            <w:tcW w:w="0" w:type="auto"/>
            <w:hideMark/>
          </w:tcPr>
          <w:p w14:paraId="3F65820E"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bdr w:val="none" w:sz="0" w:space="0" w:color="auto" w:frame="1"/>
                <w:lang w:val="ru-BG" w:eastAsia="ru-RU"/>
                <w14:ligatures w14:val="none"/>
              </w:rPr>
              <w:t xml:space="preserve">Request for financial support from the French Development Agency (AFD); negotiations with Rosatom management in Belgrade.</w:t>
            </w:r>
          </w:p>
        </w:tc>
        <w:tc>
          <w:tcPr>
            <w:tcW w:w="0" w:type="auto"/>
            <w:hideMark/>
          </w:tcPr>
          <w:p w14:paraId="343B3624"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bdr w:val="none" w:sz="0" w:space="0" w:color="auto" w:frame="1"/>
                <w:lang w:val="ru-BG" w:eastAsia="ru-RU"/>
                <w14:ligatures w14:val="none"/>
              </w:rPr>
              <w:t xml:space="preserve">Intensifying efforts to attract funding and evaluating proposals from alternative vendors.</w:t>
            </w:r>
          </w:p>
        </w:tc>
      </w:tr>
      <w:tr w:rsidR="00B91833" w:rsidRPr="00B91833" w14:paraId="2C5ABDE9" w14:textId="77777777" w:rsidTr="00B91833">
        <w:tc>
          <w:tcPr>
            <w:tcW w:w="0" w:type="auto"/>
            <w:hideMark/>
          </w:tcPr>
          <w:p w14:paraId="2A1DAC82"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bdr w:val="none" w:sz="0" w:space="0" w:color="auto" w:frame="1"/>
                <w:lang w:val="ru-BG" w:eastAsia="ru-RU"/>
                <w14:ligatures w14:val="none"/>
              </w:rPr>
              <w:t xml:space="preserve">March 2026</w:t>
            </w:r>
          </w:p>
        </w:tc>
        <w:tc>
          <w:tcPr>
            <w:tcW w:w="0" w:type="auto"/>
            <w:hideMark/>
          </w:tcPr>
          <w:p w14:paraId="4F6FCD2B"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bdr w:val="none" w:sz="0" w:space="0" w:color="auto" w:frame="1"/>
                <w:lang w:val="ru-BG" w:eastAsia="ru-RU"/>
                <w14:ligatures w14:val="none"/>
              </w:rPr>
              <w:t xml:space="preserve">Approval of the target dates for Phase 1 according to the IAEA methodology.</w:t>
            </w:r>
          </w:p>
        </w:tc>
        <w:tc>
          <w:tcPr>
            <w:tcW w:w="0" w:type="auto"/>
            <w:hideMark/>
          </w:tcPr>
          <w:p w14:paraId="0F1ED193" w14:textId="77777777" w:rsidR="00B91833" w:rsidRPr="00B91833" w:rsidRDefault="00B91833" w:rsidP="00B91833">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bdr w:val="none" w:sz="0" w:space="0" w:color="auto" w:frame="1"/>
                <w:lang w:val="ru-BG" w:eastAsia="ru-RU"/>
                <w14:ligatures w14:val="none"/>
              </w:rPr>
              <w:t xml:space="preserve">Schedule commitment: Completion of the preparatory Phase 1 by mid-2027.</w:t>
            </w:r>
          </w:p>
        </w:tc>
      </w:tr>
    </w:tbl>
    <w:p w14:paraId="30344E64" w14:textId="2BC91E22" w:rsidR="00B91833" w:rsidRPr="00B91833" w:rsidRDefault="00B91833" w:rsidP="00B91833">
      <w:pPr>
        <w:spacing w:after="120" w:line="240" w:lineRule="auto"/>
        <w:jc w:val="both"/>
        <w:rPr>
          <w:rFonts w:ascii="Calibri" w:eastAsia="Times New Roman" w:hAnsi="Calibri" w:cs="Calibri"/>
          <w:color w:val="1F1F1F"/>
          <w:kern w:val="0"/>
          <w:lang w:val="ru-BG" w:eastAsia="ru-RU"/>
          <w14:ligatures w14:val="none"/>
        </w:rPr>
      </w:pPr>
    </w:p>
    <w:p w14:paraId="61B01563" w14:textId="77777777" w:rsidR="00B91833" w:rsidRPr="00B91833" w:rsidRDefault="00B91833" w:rsidP="00B91833">
      <w:pPr xmlns:w="http://schemas.openxmlformats.org/wordprocessingml/2006/main" xmlns:w14="http://schemas.microsoft.com/office/word/2010/wordml">
        <w:spacing w:after="120" w:line="240" w:lineRule="auto"/>
        <w:jc w:val="both"/>
        <w:outlineLvl w:val="1"/>
        <w:rPr>
          <w:rFonts w:ascii="Calibri" w:eastAsia="Times New Roman" w:hAnsi="Calibri" w:cs="Calibri"/>
          <w:b/>
          <w:bCs/>
          <w:color w:val="1F1F1F"/>
          <w:kern w:val="0"/>
          <w:sz w:val="36"/>
          <w:szCs w:val="36"/>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36"/>
          <w:szCs w:val="36"/>
          <w:lang w:val="ru-BG" w:eastAsia="ru-RU"/>
          <w14:ligatures w14:val="none"/>
        </w:rPr>
        <w:t xml:space="preserve">II. Creation of Software Infrastructure and Regulatory Framework</w:t>
      </w:r>
    </w:p>
    <w:p w14:paraId="3B31669C" w14:textId="77777777" w:rsidR="00B91833" w:rsidRPr="00B91833" w:rsidRDefault="00B91833" w:rsidP="00B91833">
      <w:pPr xmlns:w="http://schemas.openxmlformats.org/wordprocessingml/2006/main" xmlns:w14="http://schemas.microsoft.com/office/word/2010/wordml">
        <w:spacing w:after="120" w:line="240" w:lineRule="auto"/>
        <w:jc w:val="both"/>
        <w:outlineLvl w:val="2"/>
        <w:rPr>
          <w:rFonts w:ascii="Calibri" w:eastAsia="Times New Roman" w:hAnsi="Calibri" w:cs="Calibri"/>
          <w:b/>
          <w:bCs/>
          <w:color w:val="1F1F1F"/>
          <w:kern w:val="0"/>
          <w:sz w:val="27"/>
          <w:szCs w:val="27"/>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27"/>
          <w:szCs w:val="27"/>
          <w:lang w:val="ru-BG" w:eastAsia="ru-RU"/>
          <w14:ligatures w14:val="none"/>
        </w:rPr>
        <w:t xml:space="preserve">A. Commitment to the IAEA Phased Approach</w:t>
      </w:r>
    </w:p>
    <w:p w14:paraId="713A3ADF" w14:textId="77777777" w:rsidR="00B91833" w:rsidRPr="00B91833" w:rsidRDefault="00B91833" w:rsidP="00B91833">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Serbia has officially commenced Phase 1 of the IAEA program. According to the relevant ministry, completion of this preparatory phase is scheduled for mid-2027. The newly established Directorate for Nuclear Energy Development has assumed coordinating functions. Successful completion of the first phases and the establishment of an independent regulatory authority remain essential for proceeding to construction and securing the confidence of the international community.</w:t>
      </w:r>
    </w:p>
    <w:p w14:paraId="61F172CC" w14:textId="77777777" w:rsidR="00B91833" w:rsidRPr="00B91833" w:rsidRDefault="00B91833" w:rsidP="00B91833">
      <w:pPr xmlns:w="http://schemas.openxmlformats.org/wordprocessingml/2006/main" xmlns:w14="http://schemas.microsoft.com/office/word/2010/wordml">
        <w:spacing w:after="120" w:line="240" w:lineRule="auto"/>
        <w:jc w:val="both"/>
        <w:outlineLvl w:val="2"/>
        <w:rPr>
          <w:rFonts w:ascii="Calibri" w:eastAsia="Times New Roman" w:hAnsi="Calibri" w:cs="Calibri"/>
          <w:b/>
          <w:bCs/>
          <w:color w:val="1F1F1F"/>
          <w:kern w:val="0"/>
          <w:sz w:val="27"/>
          <w:szCs w:val="27"/>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27"/>
          <w:szCs w:val="27"/>
          <w:lang w:val="ru-BG" w:eastAsia="ru-RU"/>
          <w14:ligatures w14:val="none"/>
        </w:rPr>
        <w:t xml:space="preserve">B. Preliminary Technical Study</w:t>
      </w:r>
    </w:p>
    <w:p w14:paraId="06CDEAA2" w14:textId="77777777" w:rsidR="00B91833" w:rsidRPr="00B91833" w:rsidRDefault="00B91833" w:rsidP="00B91833">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The completion of the Preliminary Technical Study, led by France's EDF and the engineering company Egis, in 2025 provided the government with the necessary guidance for early action and network integration. French participation continues to deepen, as evidenced by recent agreements with the Vinča Institute, giving European standards a significant advantage in shaping future tender requirements.</w:t>
      </w:r>
    </w:p>
    <w:p w14:paraId="24AEF942" w14:textId="77777777" w:rsidR="00B91833" w:rsidRPr="00B91833" w:rsidRDefault="00B91833" w:rsidP="00B91833">
      <w:pPr xmlns:w="http://schemas.openxmlformats.org/wordprocessingml/2006/main" xmlns:w14="http://schemas.microsoft.com/office/word/2010/wordml">
        <w:spacing w:after="120" w:line="240" w:lineRule="auto"/>
        <w:jc w:val="both"/>
        <w:outlineLvl w:val="2"/>
        <w:rPr>
          <w:rFonts w:ascii="Calibri" w:eastAsia="Times New Roman" w:hAnsi="Calibri" w:cs="Calibri"/>
          <w:b/>
          <w:bCs/>
          <w:color w:val="1F1F1F"/>
          <w:kern w:val="0"/>
          <w:sz w:val="27"/>
          <w:szCs w:val="27"/>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27"/>
          <w:szCs w:val="27"/>
          <w:lang w:val="ru-BG" w:eastAsia="ru-RU"/>
          <w14:ligatures w14:val="none"/>
        </w:rPr>
        <w:t xml:space="preserve">C. Updated Program Development Schedule</w:t>
      </w:r>
    </w:p>
    <w:p w14:paraId="679D197D" w14:textId="77777777" w:rsidR="00B91833" w:rsidRPr="00B91833" w:rsidRDefault="00B91833" w:rsidP="00B91833">
      <w:pPr xmlns:w="http://schemas.openxmlformats.org/wordprocessingml/2006/main" xmlns:w14="http://schemas.microsoft.com/office/word/2010/wordml">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The strategic timeframe for the project's implementation was adjusted to reflect market realities and the scale of the tasks:</w:t>
      </w:r>
    </w:p>
    <w:p w14:paraId="10E7B950" w14:textId="77777777" w:rsidR="00B91833" w:rsidRPr="00B91833" w:rsidRDefault="00B91833" w:rsidP="00B91833">
      <w:pPr xmlns:w="http://schemas.openxmlformats.org/wordprocessingml/2006/main" xmlns:w14="http://schemas.microsoft.com/office/word/2010/wordml">
        <w:numPr>
          <w:ilvl w:val="0"/>
          <w:numId w:val="1"/>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bdr w:val="none" w:sz="0" w:space="0" w:color="auto" w:frame="1"/>
          <w:lang w:val="ru-BG" w:eastAsia="ru-RU"/>
          <w14:ligatures w14:val="none"/>
        </w:rPr>
        <w:t xml:space="preserve">Mid-2027: </w:t>
      </w: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Completion of Phase 1 according to the IAEA methodology (Establishment of the legal/regulatory framework and justification).</w:t>
      </w:r>
    </w:p>
    <w:p w14:paraId="24BCF0EE" w14:textId="77777777" w:rsidR="00B91833" w:rsidRPr="00B91833" w:rsidRDefault="00B91833" w:rsidP="00B91833">
      <w:pPr xmlns:w="http://schemas.openxmlformats.org/wordprocessingml/2006/main" xmlns:w14="http://schemas.microsoft.com/office/word/2010/wordml">
        <w:numPr>
          <w:ilvl w:val="0"/>
          <w:numId w:val="1"/>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bdr w:val="none" w:sz="0" w:space="0" w:color="auto" w:frame="1"/>
          <w:lang w:val="ru-BG" w:eastAsia="ru-RU"/>
          <w14:ligatures w14:val="none"/>
        </w:rPr>
        <w:t xml:space="preserve">By 2035: </w:t>
      </w: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Final investment decision and commencement of construction of the first power unit.</w:t>
      </w:r>
    </w:p>
    <w:p w14:paraId="7F739D25" w14:textId="77777777" w:rsidR="00B91833" w:rsidRPr="00B91833" w:rsidRDefault="00B91833" w:rsidP="00B91833">
      <w:pPr xmlns:w="http://schemas.openxmlformats.org/wordprocessingml/2006/main" xmlns:w14="http://schemas.microsoft.com/office/word/2010/wordml">
        <w:numPr>
          <w:ilvl w:val="0"/>
          <w:numId w:val="1"/>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bdr w:val="none" w:sz="0" w:space="0" w:color="auto" w:frame="1"/>
          <w:lang w:val="ru-BG" w:eastAsia="ru-RU"/>
          <w14:ligatures w14:val="none"/>
        </w:rPr>
        <w:t xml:space="preserve">After 2040: </w:t>
      </w: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Expected commissioning of the first nuclear power plant into commercial operation.</w:t>
      </w:r>
    </w:p>
    <w:p w14:paraId="1160879C" w14:textId="5D95C169" w:rsidR="00B91833" w:rsidRPr="00B91833" w:rsidRDefault="00B91833" w:rsidP="00B91833">
      <w:pPr>
        <w:spacing w:after="120" w:line="240" w:lineRule="auto"/>
        <w:jc w:val="both"/>
        <w:rPr>
          <w:rFonts w:ascii="Calibri" w:eastAsia="Times New Roman" w:hAnsi="Calibri" w:cs="Calibri"/>
          <w:color w:val="1F1F1F"/>
          <w:kern w:val="0"/>
          <w:lang w:val="ru-BG" w:eastAsia="ru-RU"/>
          <w14:ligatures w14:val="none"/>
        </w:rPr>
      </w:pPr>
    </w:p>
    <w:p w14:paraId="3F3F2631" w14:textId="77777777" w:rsidR="00B91833" w:rsidRPr="00B91833" w:rsidRDefault="00B91833" w:rsidP="00B91833">
      <w:pPr xmlns:w="http://schemas.openxmlformats.org/wordprocessingml/2006/main" xmlns:w14="http://schemas.microsoft.com/office/word/2010/wordml">
        <w:spacing w:after="120" w:line="240" w:lineRule="auto"/>
        <w:jc w:val="both"/>
        <w:outlineLvl w:val="1"/>
        <w:rPr>
          <w:rFonts w:ascii="Calibri" w:eastAsia="Times New Roman" w:hAnsi="Calibri" w:cs="Calibri"/>
          <w:b/>
          <w:bCs/>
          <w:color w:val="1F1F1F"/>
          <w:kern w:val="0"/>
          <w:sz w:val="36"/>
          <w:szCs w:val="36"/>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36"/>
          <w:szCs w:val="36"/>
          <w:lang w:val="ru-BG" w:eastAsia="ru-RU"/>
          <w14:ligatures w14:val="none"/>
        </w:rPr>
        <w:lastRenderedPageBreak xmlns:w="http://schemas.openxmlformats.org/wordprocessingml/2006/main"/>
      </w:r>
      <w:r xmlns:w="http://schemas.openxmlformats.org/wordprocessingml/2006/main" xmlns:w14="http://schemas.microsoft.com/office/word/2010/wordml" w:rsidRPr="00B91833">
        <w:rPr>
          <w:rFonts w:ascii="Calibri" w:eastAsia="Times New Roman" w:hAnsi="Calibri" w:cs="Calibri"/>
          <w:b/>
          <w:bCs/>
          <w:color w:val="1F1F1F"/>
          <w:kern w:val="0"/>
          <w:sz w:val="36"/>
          <w:szCs w:val="36"/>
          <w:lang w:val="ru-BG" w:eastAsia="ru-RU"/>
          <w14:ligatures w14:val="none"/>
        </w:rPr>
        <w:t xml:space="preserve">III. Technological Path: Diversification of Capacities</w:t>
      </w:r>
    </w:p>
    <w:p w14:paraId="74A8FA51" w14:textId="77777777" w:rsidR="00B91833" w:rsidRPr="00B91833" w:rsidRDefault="00B91833" w:rsidP="00B91833">
      <w:pPr xmlns:w="http://schemas.openxmlformats.org/wordprocessingml/2006/main" xmlns:w14="http://schemas.microsoft.com/office/word/2010/wordml">
        <w:spacing w:after="120" w:line="240" w:lineRule="auto"/>
        <w:jc w:val="both"/>
        <w:outlineLvl w:val="2"/>
        <w:rPr>
          <w:rFonts w:ascii="Calibri" w:eastAsia="Times New Roman" w:hAnsi="Calibri" w:cs="Calibri"/>
          <w:b/>
          <w:bCs/>
          <w:color w:val="1F1F1F"/>
          <w:kern w:val="0"/>
          <w:sz w:val="27"/>
          <w:szCs w:val="27"/>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27"/>
          <w:szCs w:val="27"/>
          <w:lang w:val="ru-BG" w:eastAsia="ru-RU"/>
          <w14:ligatures w14:val="none"/>
        </w:rPr>
        <w:t xml:space="preserve">A. Expansion of Target Capacity (1000–1650 MW)</w:t>
      </w:r>
    </w:p>
    <w:p w14:paraId="1197F16F" w14:textId="77777777" w:rsidR="00B91833" w:rsidRPr="00B91833" w:rsidRDefault="00B91833" w:rsidP="00B91833">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In contrast to the initial focus exclusively on small modular reactors (SMRs), Serbia's strategy for 2025-2026 has become more pragmatic. The current target range for the first project is set at 1,000 to 1,650 MW. This means that traditional large-scale Generation III+ power units are now being seriously considered alongside SMR clusters. This reduces the technological risks associated with waiting for SMR commercialization and relies on proven, reference solutions.</w:t>
      </w:r>
    </w:p>
    <w:p w14:paraId="0D15FA7B" w14:textId="77777777" w:rsidR="00B91833" w:rsidRPr="00B91833" w:rsidRDefault="00B91833" w:rsidP="00B91833">
      <w:pPr xmlns:w="http://schemas.openxmlformats.org/wordprocessingml/2006/main" xmlns:w14="http://schemas.microsoft.com/office/word/2010/wordml">
        <w:spacing w:after="120" w:line="240" w:lineRule="auto"/>
        <w:jc w:val="both"/>
        <w:outlineLvl w:val="2"/>
        <w:rPr>
          <w:rFonts w:ascii="Calibri" w:eastAsia="Times New Roman" w:hAnsi="Calibri" w:cs="Calibri"/>
          <w:b/>
          <w:bCs/>
          <w:color w:val="1F1F1F"/>
          <w:kern w:val="0"/>
          <w:sz w:val="27"/>
          <w:szCs w:val="27"/>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27"/>
          <w:szCs w:val="27"/>
          <w:lang w:val="ru-BG" w:eastAsia="ru-RU"/>
          <w14:ligatures w14:val="none"/>
        </w:rPr>
        <w:t xml:space="preserve">B. Integration Limitations</w:t>
      </w:r>
    </w:p>
    <w:p w14:paraId="1F36FB48" w14:textId="77777777" w:rsidR="00B91833" w:rsidRPr="00B91833" w:rsidRDefault="00B91833" w:rsidP="00B91833">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Large-scale baseload capacity will require a major modernization of Serbia's transmission infrastructure. The period up to 2035 will be critical for adapting the national power system, regulating the balancing market, and preparing sites to accommodate such generation volumes.</w:t>
      </w:r>
    </w:p>
    <w:p w14:paraId="1B52AE48" w14:textId="5529C8C9" w:rsidR="00B91833" w:rsidRPr="00B91833" w:rsidRDefault="00B91833" w:rsidP="00B91833">
      <w:pPr>
        <w:spacing w:after="120" w:line="240" w:lineRule="auto"/>
        <w:jc w:val="both"/>
        <w:rPr>
          <w:rFonts w:ascii="Calibri" w:eastAsia="Times New Roman" w:hAnsi="Calibri" w:cs="Calibri"/>
          <w:color w:val="1F1F1F"/>
          <w:kern w:val="0"/>
          <w:lang w:val="ru-BG" w:eastAsia="ru-RU"/>
          <w14:ligatures w14:val="none"/>
        </w:rPr>
      </w:pPr>
    </w:p>
    <w:p w14:paraId="4DF4D1AD" w14:textId="77777777" w:rsidR="00B91833" w:rsidRPr="00B91833" w:rsidRDefault="00B91833" w:rsidP="00B91833">
      <w:pPr xmlns:w="http://schemas.openxmlformats.org/wordprocessingml/2006/main" xmlns:w14="http://schemas.microsoft.com/office/word/2010/wordml">
        <w:spacing w:after="120" w:line="240" w:lineRule="auto"/>
        <w:jc w:val="both"/>
        <w:outlineLvl w:val="1"/>
        <w:rPr>
          <w:rFonts w:ascii="Calibri" w:eastAsia="Times New Roman" w:hAnsi="Calibri" w:cs="Calibri"/>
          <w:b/>
          <w:bCs/>
          <w:color w:val="1F1F1F"/>
          <w:kern w:val="0"/>
          <w:sz w:val="36"/>
          <w:szCs w:val="36"/>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36"/>
          <w:szCs w:val="36"/>
          <w:lang w:val="ru-BG" w:eastAsia="ru-RU"/>
          <w14:ligatures w14:val="none"/>
        </w:rPr>
        <w:t xml:space="preserve">IV. International Partnership Landscape and Geopolitical Dynamics</w:t>
      </w:r>
    </w:p>
    <w:p w14:paraId="441CCBAA" w14:textId="77777777" w:rsidR="00B91833" w:rsidRPr="00B91833" w:rsidRDefault="00B91833" w:rsidP="00B91833">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Choosing a partner remains a difficult strategic decision. Competition for the Serbian project has intensified significantly.</w:t>
      </w:r>
    </w:p>
    <w:p w14:paraId="1FBE0F3A" w14:textId="77777777" w:rsidR="00B91833" w:rsidRPr="00B91833" w:rsidRDefault="00B91833" w:rsidP="00B91833">
      <w:pPr xmlns:w="http://schemas.openxmlformats.org/wordprocessingml/2006/main" xmlns:w14="http://schemas.microsoft.com/office/word/2010/wordml">
        <w:spacing w:after="120" w:line="240" w:lineRule="auto"/>
        <w:jc w:val="both"/>
        <w:outlineLvl w:val="2"/>
        <w:rPr>
          <w:rFonts w:ascii="Calibri" w:eastAsia="Times New Roman" w:hAnsi="Calibri" w:cs="Calibri"/>
          <w:b/>
          <w:bCs/>
          <w:color w:val="1F1F1F"/>
          <w:kern w:val="0"/>
          <w:sz w:val="27"/>
          <w:szCs w:val="27"/>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27"/>
          <w:szCs w:val="27"/>
          <w:lang w:val="ru-BG" w:eastAsia="ru-RU"/>
          <w14:ligatures w14:val="none"/>
        </w:rPr>
        <w:t xml:space="preserve">A. French Anchor</w:t>
      </w:r>
    </w:p>
    <w:p w14:paraId="595AEF13" w14:textId="77777777" w:rsidR="00B91833" w:rsidRPr="00B91833" w:rsidRDefault="00B91833" w:rsidP="00B91833">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France firmly holds the position of lead consultant. In addition to the completed technical study, the partnership is underpinned by active dialogue on financing: in February 2026, Belgrade formally requested support from the French Development Agency (AFD) for the implementation of the initial stages of the program.</w:t>
      </w:r>
    </w:p>
    <w:p w14:paraId="10927EED" w14:textId="77777777" w:rsidR="00B91833" w:rsidRPr="00B91833" w:rsidRDefault="00B91833" w:rsidP="00B91833">
      <w:pPr xmlns:w="http://schemas.openxmlformats.org/wordprocessingml/2006/main" xmlns:w14="http://schemas.microsoft.com/office/word/2010/wordml">
        <w:spacing w:after="120" w:line="240" w:lineRule="auto"/>
        <w:jc w:val="both"/>
        <w:outlineLvl w:val="2"/>
        <w:rPr>
          <w:rFonts w:ascii="Calibri" w:eastAsia="Times New Roman" w:hAnsi="Calibri" w:cs="Calibri"/>
          <w:b/>
          <w:bCs/>
          <w:color w:val="1F1F1F"/>
          <w:kern w:val="0"/>
          <w:sz w:val="27"/>
          <w:szCs w:val="27"/>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27"/>
          <w:szCs w:val="27"/>
          <w:lang w:val="ru-BG" w:eastAsia="ru-RU"/>
          <w14:ligatures w14:val="none"/>
        </w:rPr>
        <w:t xml:space="preserve">B. Alternative Bidders: South Korea and Russia</w:t>
      </w:r>
    </w:p>
    <w:p w14:paraId="5F1C0776" w14:textId="77777777" w:rsidR="00B91833" w:rsidRPr="00B91833" w:rsidRDefault="00B91833" w:rsidP="00B91833">
      <w:pPr xmlns:w="http://schemas.openxmlformats.org/wordprocessingml/2006/main" xmlns:w14="http://schemas.microsoft.com/office/word/2010/wordml">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Serbia is actively diversifying its contacts to strengthen its negotiating position:</w:t>
      </w:r>
    </w:p>
    <w:p w14:paraId="51573101" w14:textId="77777777" w:rsidR="00B91833" w:rsidRPr="00B91833" w:rsidRDefault="00B91833" w:rsidP="00B91833">
      <w:pPr xmlns:w="http://schemas.openxmlformats.org/wordprocessingml/2006/main" xmlns:w14="http://schemas.microsoft.com/office/word/2010/wordml">
        <w:numPr>
          <w:ilvl w:val="0"/>
          <w:numId w:val="2"/>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bdr w:val="none" w:sz="0" w:space="0" w:color="auto" w:frame="1"/>
          <w:lang w:val="ru-BG" w:eastAsia="ru-RU"/>
          <w14:ligatures w14:val="none"/>
        </w:rPr>
        <w:t xml:space="preserve">South Korea (KHNP): </w:t>
      </w: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The signing of two MOUs in September 2025 has positioned Seoul as a viable contender, offering proven technologies (such as the APR-1400), on-time construction, and competitive financial packages.</w:t>
      </w:r>
    </w:p>
    <w:p w14:paraId="18FFC5DD" w14:textId="77777777" w:rsidR="00B91833" w:rsidRPr="00B91833" w:rsidRDefault="00B91833" w:rsidP="00B91833">
      <w:pPr xmlns:w="http://schemas.openxmlformats.org/wordprocessingml/2006/main" xmlns:w14="http://schemas.microsoft.com/office/word/2010/wordml">
        <w:numPr>
          <w:ilvl w:val="0"/>
          <w:numId w:val="2"/>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bdr w:val="none" w:sz="0" w:space="0" w:color="auto" w:frame="1"/>
          <w:lang w:val="ru-BG" w:eastAsia="ru-RU"/>
          <w14:ligatures w14:val="none"/>
        </w:rPr>
        <w:t xml:space="preserve">Russia (Rosatom): </w:t>
      </w: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The February 2026 talks in Belgrade confirm that Russia's proposals for integrated turnkey construction and vendor financing remain on the table, despite the challenging geopolitical context.</w:t>
      </w:r>
    </w:p>
    <w:p w14:paraId="2756623D" w14:textId="375FE741" w:rsidR="00D62A1D" w:rsidRDefault="00D62A1D">
      <w:pPr>
        <w:rPr>
          <w:rFonts w:ascii="Calibri" w:eastAsia="Times New Roman" w:hAnsi="Calibri" w:cs="Calibri"/>
          <w:color w:val="1F1F1F"/>
          <w:kern w:val="0"/>
          <w:lang w:val="ru-BG" w:eastAsia="ru-RU"/>
          <w14:ligatures w14:val="none"/>
        </w:rPr>
      </w:pPr>
      <w:r>
        <w:rPr>
          <w:rFonts w:ascii="Calibri" w:eastAsia="Times New Roman" w:hAnsi="Calibri" w:cs="Calibri"/>
          <w:color w:val="1F1F1F"/>
          <w:kern w:val="0"/>
          <w:lang w:val="ru-BG" w:eastAsia="ru-RU"/>
          <w14:ligatures w14:val="none"/>
        </w:rPr>
        <w:br w:type="page"/>
      </w:r>
    </w:p>
    <w:p w14:paraId="7537788F" w14:textId="77777777" w:rsidR="00B91833" w:rsidRPr="00B91833" w:rsidRDefault="00B91833" w:rsidP="00B91833">
      <w:pPr>
        <w:spacing w:after="120" w:line="240" w:lineRule="auto"/>
        <w:jc w:val="both"/>
        <w:rPr>
          <w:rFonts w:ascii="Calibri" w:eastAsia="Times New Roman" w:hAnsi="Calibri" w:cs="Calibri"/>
          <w:color w:val="1F1F1F"/>
          <w:kern w:val="0"/>
          <w:lang w:val="ru-BG" w:eastAsia="ru-RU"/>
          <w14:ligatures w14:val="none"/>
        </w:rPr>
      </w:pPr>
    </w:p>
    <w:p w14:paraId="3803856B" w14:textId="77777777" w:rsidR="00B91833" w:rsidRPr="00B91833" w:rsidRDefault="00B91833" w:rsidP="00B91833">
      <w:pPr xmlns:w="http://schemas.openxmlformats.org/wordprocessingml/2006/main" xmlns:w14="http://schemas.microsoft.com/office/word/2010/wordml">
        <w:spacing w:after="120" w:line="240" w:lineRule="auto"/>
        <w:jc w:val="both"/>
        <w:outlineLvl w:val="1"/>
        <w:rPr>
          <w:rFonts w:ascii="Calibri" w:eastAsia="Times New Roman" w:hAnsi="Calibri" w:cs="Calibri"/>
          <w:b/>
          <w:bCs/>
          <w:color w:val="1F1F1F"/>
          <w:kern w:val="0"/>
          <w:sz w:val="36"/>
          <w:szCs w:val="36"/>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36"/>
          <w:szCs w:val="36"/>
          <w:lang w:val="ru-BG" w:eastAsia="ru-RU"/>
          <w14:ligatures w14:val="none"/>
        </w:rPr>
        <w:t xml:space="preserve">V. Financial Modeling and Investment Strategy</w:t>
      </w:r>
    </w:p>
    <w:p w14:paraId="7A2229BE" w14:textId="77777777" w:rsidR="00B91833" w:rsidRPr="00B91833" w:rsidRDefault="00B91833" w:rsidP="00B91833">
      <w:pPr xmlns:w="http://schemas.openxmlformats.org/wordprocessingml/2006/main" xmlns:w14="http://schemas.microsoft.com/office/word/2010/wordml">
        <w:spacing w:after="120" w:line="240" w:lineRule="auto"/>
        <w:jc w:val="both"/>
        <w:outlineLvl w:val="2"/>
        <w:rPr>
          <w:rFonts w:ascii="Calibri" w:eastAsia="Times New Roman" w:hAnsi="Calibri" w:cs="Calibri"/>
          <w:b/>
          <w:bCs/>
          <w:color w:val="1F1F1F"/>
          <w:kern w:val="0"/>
          <w:sz w:val="27"/>
          <w:szCs w:val="27"/>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27"/>
          <w:szCs w:val="27"/>
          <w:lang w:val="ru-BG" w:eastAsia="ru-RU"/>
          <w14:ligatures w14:val="none"/>
        </w:rPr>
        <w:t xml:space="preserve">A. Updated Cost Estimate</w:t>
      </w:r>
    </w:p>
    <w:p w14:paraId="0BA84FFE" w14:textId="77777777" w:rsidR="00B91833" w:rsidRPr="00B91833" w:rsidRDefault="00B91833" w:rsidP="00B91833">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Due to a revised technological approach (focusing on one large unit or equivalent with a capacity of 1000–1650 MW instead of four SMRs), the initial capital cost estimate has been adjusted. Current estimates are around </w:t>
      </w:r>
      <w:r xmlns:w="http://schemas.openxmlformats.org/wordprocessingml/2006/main" xmlns:w14="http://schemas.microsoft.com/office/word/2010/wordml" w:rsidRPr="00B91833">
        <w:rPr>
          <w:rFonts w:ascii="Calibri" w:eastAsia="Times New Roman" w:hAnsi="Calibri" w:cs="Calibri"/>
          <w:b/>
          <w:bCs/>
          <w:color w:val="1F1F1F"/>
          <w:kern w:val="0"/>
          <w:bdr w:val="none" w:sz="0" w:space="0" w:color="auto" w:frame="1"/>
          <w:lang w:val="ru-BG" w:eastAsia="ru-RU"/>
          <w14:ligatures w14:val="none"/>
        </w:rPr>
        <w:t xml:space="preserve">€3 billion </w:t>
      </w: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for the first installation. This amount represents a more realistic starting point for the state budget, although it still requires significant external participation.</w:t>
      </w:r>
    </w:p>
    <w:p w14:paraId="53118163" w14:textId="77777777" w:rsidR="00B91833" w:rsidRPr="00B91833" w:rsidRDefault="00B91833" w:rsidP="00B91833">
      <w:pPr xmlns:w="http://schemas.openxmlformats.org/wordprocessingml/2006/main" xmlns:w14="http://schemas.microsoft.com/office/word/2010/wordml">
        <w:spacing w:after="120" w:line="240" w:lineRule="auto"/>
        <w:jc w:val="both"/>
        <w:outlineLvl w:val="2"/>
        <w:rPr>
          <w:rFonts w:ascii="Calibri" w:eastAsia="Times New Roman" w:hAnsi="Calibri" w:cs="Calibri"/>
          <w:b/>
          <w:bCs/>
          <w:color w:val="1F1F1F"/>
          <w:kern w:val="0"/>
          <w:sz w:val="27"/>
          <w:szCs w:val="27"/>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27"/>
          <w:szCs w:val="27"/>
          <w:lang w:val="ru-BG" w:eastAsia="ru-RU"/>
          <w14:ligatures w14:val="none"/>
        </w:rPr>
        <w:t xml:space="preserve">B. Financing Strategy</w:t>
      </w:r>
    </w:p>
    <w:p w14:paraId="619DA30E" w14:textId="77777777" w:rsidR="00B91833" w:rsidRPr="00B91833" w:rsidRDefault="00B91833" w:rsidP="00B91833">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Given the demand for institutions like the AFD, Serbia is relying on structured project financing, leveraging sovereign loans and the support of Western export credit agencies (ECAs). Success in attracting such funds will directly depend on the transparency of the institutional framework being created and strict adherence to IAEA standards.</w:t>
      </w:r>
    </w:p>
    <w:p w14:paraId="77854618" w14:textId="4CC47EEA" w:rsidR="00B91833" w:rsidRPr="00B91833" w:rsidRDefault="00B91833" w:rsidP="00B91833">
      <w:pPr>
        <w:spacing w:after="120" w:line="240" w:lineRule="auto"/>
        <w:jc w:val="both"/>
        <w:rPr>
          <w:rFonts w:ascii="Calibri" w:eastAsia="Times New Roman" w:hAnsi="Calibri" w:cs="Calibri"/>
          <w:color w:val="1F1F1F"/>
          <w:kern w:val="0"/>
          <w:lang w:val="ru-BG" w:eastAsia="ru-RU"/>
          <w14:ligatures w14:val="none"/>
        </w:rPr>
      </w:pPr>
    </w:p>
    <w:p w14:paraId="4EDF0A24" w14:textId="77777777" w:rsidR="00B91833" w:rsidRPr="00B91833" w:rsidRDefault="00B91833" w:rsidP="00B91833">
      <w:pPr xmlns:w="http://schemas.openxmlformats.org/wordprocessingml/2006/main" xmlns:w14="http://schemas.microsoft.com/office/word/2010/wordml">
        <w:spacing w:after="120" w:line="240" w:lineRule="auto"/>
        <w:jc w:val="both"/>
        <w:outlineLvl w:val="1"/>
        <w:rPr>
          <w:rFonts w:ascii="Calibri" w:eastAsia="Times New Roman" w:hAnsi="Calibri" w:cs="Calibri"/>
          <w:b/>
          <w:bCs/>
          <w:color w:val="1F1F1F"/>
          <w:kern w:val="0"/>
          <w:sz w:val="36"/>
          <w:szCs w:val="36"/>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36"/>
          <w:szCs w:val="36"/>
          <w:lang w:val="ru-BG" w:eastAsia="ru-RU"/>
          <w14:ligatures w14:val="none"/>
        </w:rPr>
        <w:t xml:space="preserve">VI. Key Risks, Opportunities, and Strategic Recommendations</w:t>
      </w:r>
    </w:p>
    <w:p w14:paraId="5D94F7D8" w14:textId="77777777" w:rsidR="00B91833" w:rsidRPr="00B91833" w:rsidRDefault="00B91833" w:rsidP="00B91833">
      <w:pPr xmlns:w="http://schemas.openxmlformats.org/wordprocessingml/2006/main" xmlns:w14="http://schemas.microsoft.com/office/word/2010/wordml">
        <w:spacing w:after="120" w:line="240" w:lineRule="auto"/>
        <w:jc w:val="both"/>
        <w:outlineLvl w:val="2"/>
        <w:rPr>
          <w:rFonts w:ascii="Calibri" w:eastAsia="Times New Roman" w:hAnsi="Calibri" w:cs="Calibri"/>
          <w:b/>
          <w:bCs/>
          <w:color w:val="1F1F1F"/>
          <w:kern w:val="0"/>
          <w:sz w:val="27"/>
          <w:szCs w:val="27"/>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27"/>
          <w:szCs w:val="27"/>
          <w:lang w:val="ru-BG" w:eastAsia="ru-RU"/>
          <w14:ligatures w14:val="none"/>
        </w:rPr>
        <w:t xml:space="preserve">A. Risks: Institutional Framework and Consent</w:t>
      </w:r>
    </w:p>
    <w:p w14:paraId="36F50178" w14:textId="77777777" w:rsidR="00B91833" w:rsidRPr="00B91833" w:rsidRDefault="00B91833" w:rsidP="00B91833">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The main non-financial risk remains the pace of establishing an independent and fully staffed regulator. Any delay in establishing enforcement practices could push the start of construction beyond 2035.</w:t>
      </w:r>
    </w:p>
    <w:p w14:paraId="704636ED" w14:textId="77777777" w:rsidR="00B91833" w:rsidRPr="00B91833" w:rsidRDefault="00B91833" w:rsidP="00B91833">
      <w:pPr xmlns:w="http://schemas.openxmlformats.org/wordprocessingml/2006/main" xmlns:w14="http://schemas.microsoft.com/office/word/2010/wordml">
        <w:spacing w:after="120" w:line="240" w:lineRule="auto"/>
        <w:jc w:val="both"/>
        <w:outlineLvl w:val="2"/>
        <w:rPr>
          <w:rFonts w:ascii="Calibri" w:eastAsia="Times New Roman" w:hAnsi="Calibri" w:cs="Calibri"/>
          <w:b/>
          <w:bCs/>
          <w:color w:val="1F1F1F"/>
          <w:kern w:val="0"/>
          <w:sz w:val="27"/>
          <w:szCs w:val="27"/>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27"/>
          <w:szCs w:val="27"/>
          <w:lang w:val="ru-BG" w:eastAsia="ru-RU"/>
          <w14:ligatures w14:val="none"/>
        </w:rPr>
        <w:t xml:space="preserve">B. Capabilities: Engineering and Construction Consulting</w:t>
      </w:r>
    </w:p>
    <w:p w14:paraId="50B6163C" w14:textId="77777777" w:rsidR="00B91833" w:rsidRPr="00B91833" w:rsidRDefault="00B91833" w:rsidP="00B91833">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The implementation of the nuclear program is opening an unprecedented market for high-tech engineering and consulting. The acute shortage of local expertise is creating a niche for specialized engineering companies.</w:t>
      </w:r>
    </w:p>
    <w:p w14:paraId="747FEA77" w14:textId="77777777" w:rsidR="00B91833" w:rsidRPr="00B91833" w:rsidRDefault="00B91833" w:rsidP="00B91833">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The key focus should be placed </w:t>
      </w:r>
      <w:r xmlns:w="http://schemas.openxmlformats.org/wordprocessingml/2006/main" xmlns:w14="http://schemas.microsoft.com/office/word/2010/wordml" w:rsidRPr="00B91833">
        <w:rPr>
          <w:rFonts w:ascii="Calibri" w:eastAsia="Times New Roman" w:hAnsi="Calibri" w:cs="Calibri"/>
          <w:b/>
          <w:bCs/>
          <w:color w:val="1F1F1F"/>
          <w:kern w:val="0"/>
          <w:bdr w:val="none" w:sz="0" w:space="0" w:color="auto" w:frame="1"/>
          <w:lang w:val="ru-BG" w:eastAsia="ru-RU"/>
          <w14:ligatures w14:val="none"/>
        </w:rPr>
        <w:t xml:space="preserve">solely on the nuclear construction sector </w:t>
      </w: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 Before the construction phase begins in 2035, Serbia will require extensive support in:</w:t>
      </w:r>
    </w:p>
    <w:p w14:paraId="6A52BBEF" w14:textId="77777777" w:rsidR="00B91833" w:rsidRPr="00B91833" w:rsidRDefault="00B91833" w:rsidP="00B91833">
      <w:pPr xmlns:w="http://schemas.openxmlformats.org/wordprocessingml/2006/main" xmlns:w14="http://schemas.microsoft.com/office/word/2010/wordml">
        <w:numPr>
          <w:ilvl w:val="0"/>
          <w:numId w:val="3"/>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Adaptation of international projects (French, Korean or other) to local building codes and quality standards.</w:t>
      </w:r>
    </w:p>
    <w:p w14:paraId="03009E76" w14:textId="77777777" w:rsidR="00B91833" w:rsidRPr="00B91833" w:rsidRDefault="00B91833" w:rsidP="00B91833">
      <w:pPr xmlns:w="http://schemas.openxmlformats.org/wordprocessingml/2006/main" xmlns:w14="http://schemas.microsoft.com/office/word/2010/wordml">
        <w:numPr>
          <w:ilvl w:val="0"/>
          <w:numId w:val="3"/>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Project Management and technical supervision.</w:t>
      </w:r>
    </w:p>
    <w:p w14:paraId="49CBD827" w14:textId="77777777" w:rsidR="00B91833" w:rsidRPr="00B91833" w:rsidRDefault="00B91833" w:rsidP="00B91833">
      <w:pPr xmlns:w="http://schemas.openxmlformats.org/wordprocessingml/2006/main" xmlns:w14="http://schemas.microsoft.com/office/word/2010/wordml">
        <w:numPr>
          <w:ilvl w:val="0"/>
          <w:numId w:val="3"/>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Preparation of site infrastructure and integration of construction materials supply chains.</w:t>
      </w:r>
    </w:p>
    <w:p w14:paraId="2C302E5B" w14:textId="77777777" w:rsidR="00B91833" w:rsidRPr="00B91833" w:rsidRDefault="00B91833" w:rsidP="00B91833">
      <w:pPr xmlns:w="http://schemas.openxmlformats.org/wordprocessingml/2006/main" xmlns:w14="http://schemas.microsoft.com/office/word/2010/wordml">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lastRenderedPageBreak xmlns:w="http://schemas.openxmlformats.org/wordprocessingml/2006/main"/>
      </w: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This situation is ideal for consulting and engineering companies (such as NUCON doo), whose business model is based on providing expert services during the design, site licensing, and construction management stages, </w:t>
      </w:r>
      <w:r xmlns:w="http://schemas.openxmlformats.org/wordprocessingml/2006/main" xmlns:w14="http://schemas.microsoft.com/office/word/2010/wordml" w:rsidRPr="00B91833">
        <w:rPr>
          <w:rFonts w:ascii="Calibri" w:eastAsia="Times New Roman" w:hAnsi="Calibri" w:cs="Calibri"/>
          <w:b/>
          <w:bCs/>
          <w:color w:val="1F1F1F"/>
          <w:kern w:val="0"/>
          <w:bdr w:val="none" w:sz="0" w:space="0" w:color="auto" w:frame="1"/>
          <w:lang w:val="ru-BG" w:eastAsia="ru-RU"/>
          <w14:ligatures w14:val="none"/>
        </w:rPr>
        <w:t xml:space="preserve">without the need for direct operating licenses </w:t>
      </w: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 The development of the nuclear construction sector will become the main driver of technological modernization in related industries in Serbia over the next 10-15 years.</w:t>
      </w:r>
    </w:p>
    <w:p w14:paraId="4F6F2FE6" w14:textId="2945C587" w:rsidR="00B91833" w:rsidRPr="00B91833" w:rsidRDefault="00B91833" w:rsidP="00B91833">
      <w:pPr>
        <w:spacing w:after="120" w:line="240" w:lineRule="auto"/>
        <w:jc w:val="both"/>
        <w:rPr>
          <w:rFonts w:ascii="Calibri" w:eastAsia="Times New Roman" w:hAnsi="Calibri" w:cs="Calibri"/>
          <w:color w:val="1F1F1F"/>
          <w:kern w:val="0"/>
          <w:lang w:val="ru-BG" w:eastAsia="ru-RU"/>
          <w14:ligatures w14:val="none"/>
        </w:rPr>
      </w:pPr>
    </w:p>
    <w:p w14:paraId="778D7866" w14:textId="77777777" w:rsidR="00B91833" w:rsidRPr="00B91833" w:rsidRDefault="00B91833" w:rsidP="00B91833">
      <w:pPr xmlns:w="http://schemas.openxmlformats.org/wordprocessingml/2006/main" xmlns:w14="http://schemas.microsoft.com/office/word/2010/wordml">
        <w:spacing w:after="120" w:line="240" w:lineRule="auto"/>
        <w:jc w:val="both"/>
        <w:outlineLvl w:val="1"/>
        <w:rPr>
          <w:rFonts w:ascii="Calibri" w:eastAsia="Times New Roman" w:hAnsi="Calibri" w:cs="Calibri"/>
          <w:b/>
          <w:bCs/>
          <w:color w:val="1F1F1F"/>
          <w:kern w:val="0"/>
          <w:sz w:val="36"/>
          <w:szCs w:val="36"/>
          <w:lang w:val="ru-BG" w:eastAsia="ru-RU"/>
          <w14:ligatures w14:val="none"/>
        </w:rPr>
      </w:pPr>
      <w:r xmlns:w="http://schemas.openxmlformats.org/wordprocessingml/2006/main" xmlns:w14="http://schemas.microsoft.com/office/word/2010/wordml" w:rsidRPr="00B91833">
        <w:rPr>
          <w:rFonts w:ascii="Calibri" w:eastAsia="Times New Roman" w:hAnsi="Calibri" w:cs="Calibri"/>
          <w:b/>
          <w:bCs/>
          <w:color w:val="1F1F1F"/>
          <w:kern w:val="0"/>
          <w:sz w:val="36"/>
          <w:szCs w:val="36"/>
          <w:lang w:val="ru-BG" w:eastAsia="ru-RU"/>
          <w14:ligatures w14:val="none"/>
        </w:rPr>
        <w:t xml:space="preserve">VII. Conclusion</w:t>
      </w:r>
    </w:p>
    <w:p w14:paraId="0950C5D6" w14:textId="77777777" w:rsidR="00B91833" w:rsidRPr="00B91833" w:rsidRDefault="00B91833" w:rsidP="00B91833">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Serbia has moved from political declarations to the practical implementation of its nuclear program. The adoption of amendments to the Energy Law, the fixing of the IAEA Phase 1 deadline (2027), and the adjustment of the technological strategy (capacity of 1000–1650 MW with a budget of approximately €3 billion for the first phase) create a clear planning horizon.</w:t>
      </w:r>
    </w:p>
    <w:p w14:paraId="7AC2620E" w14:textId="77777777" w:rsidR="00B91833" w:rsidRPr="00B91833" w:rsidRDefault="00B91833" w:rsidP="00B91833">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91833">
        <w:rPr>
          <w:rFonts w:ascii="Calibri" w:eastAsia="Times New Roman" w:hAnsi="Calibri" w:cs="Calibri"/>
          <w:color w:val="1F1F1F"/>
          <w:kern w:val="0"/>
          <w:lang w:val="ru-BG" w:eastAsia="ru-RU"/>
          <w14:ligatures w14:val="none"/>
        </w:rPr>
        <w:t xml:space="preserve">The coming decade (until construction begins in 2035) will be entirely devoted to engineering preparation. Given the country's lack of necessary experience in constructing nuclear facilities over the past half-century, engaging a specialized independent construction consultancy for project management and quality assurance will be a decisive factor in determining the success and safety of Serbia's entire "Nuclear Renaissance."</w:t>
      </w:r>
    </w:p>
    <w:p w14:paraId="39D49F82" w14:textId="77777777" w:rsidR="00D56F1D" w:rsidRPr="00B91833" w:rsidRDefault="00D56F1D" w:rsidP="00B91833">
      <w:pPr>
        <w:jc w:val="both"/>
        <w:rPr>
          <w:rFonts w:ascii="Calibri" w:hAnsi="Calibri" w:cs="Calibri"/>
          <w:lang w:val="ru-BG"/>
        </w:rPr>
      </w:pPr>
    </w:p>
    <w:p w14:paraId="08D235A3" w14:textId="77777777" w:rsidR="00B91833" w:rsidRPr="00B91833" w:rsidRDefault="00B91833">
      <w:pPr>
        <w:jc w:val="both"/>
        <w:rPr>
          <w:rFonts w:ascii="Calibri" w:hAnsi="Calibri" w:cs="Calibri"/>
          <w:lang w:val="ru-BG"/>
        </w:rPr>
      </w:pPr>
    </w:p>
    <w:sectPr w:rsidR="00B91833" w:rsidRPr="00B9183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FFB8E" w14:textId="77777777" w:rsidR="00C1070A" w:rsidRDefault="00C1070A" w:rsidP="002E1A52">
      <w:pPr>
        <w:spacing w:after="0" w:line="240" w:lineRule="auto"/>
      </w:pPr>
      <w:r>
        <w:separator/>
      </w:r>
    </w:p>
  </w:endnote>
  <w:endnote w:type="continuationSeparator" w:id="0">
    <w:p w14:paraId="434A525B" w14:textId="77777777" w:rsidR="00C1070A" w:rsidRDefault="00C1070A" w:rsidP="002E1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B10C" w14:textId="77777777" w:rsidR="002E1A52" w:rsidRPr="00177B08" w:rsidRDefault="002E1A52" w:rsidP="002E1A52">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655F2B53" w14:textId="00CE2E35" w:rsidR="002E1A52" w:rsidRPr="002E1A52" w:rsidRDefault="002E1A52" w:rsidP="002E1A52">
    <w:pPr xmlns:w="http://schemas.openxmlformats.org/wordprocessingml/2006/main">
      <w:pStyle w:val="af1"/>
      <w:ind w:right="360"/>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2026.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CEE1B" w14:textId="77777777" w:rsidR="00C1070A" w:rsidRDefault="00C1070A" w:rsidP="002E1A52">
      <w:pPr>
        <w:spacing w:after="0" w:line="240" w:lineRule="auto"/>
      </w:pPr>
      <w:r>
        <w:separator/>
      </w:r>
    </w:p>
  </w:footnote>
  <w:footnote w:type="continuationSeparator" w:id="0">
    <w:p w14:paraId="351A68EC" w14:textId="77777777" w:rsidR="00C1070A" w:rsidRDefault="00C1070A" w:rsidP="002E1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288B3" w14:textId="468AB39B" w:rsidR="002E1A52" w:rsidRDefault="002E1A52">
    <w:pPr>
      <w:pStyle w:val="af"/>
    </w:pPr>
    <w:r w:rsidRPr="009951E6">
      <w:rPr>
        <w:noProof/>
      </w:rPr>
      <w:drawing>
        <wp:anchor distT="0" distB="0" distL="114300" distR="114300" simplePos="0" relativeHeight="251659264" behindDoc="0" locked="0" layoutInCell="1" allowOverlap="1" wp14:anchorId="5219233D" wp14:editId="0DC438BF">
          <wp:simplePos x="0" y="0"/>
          <wp:positionH relativeFrom="column">
            <wp:posOffset>2588895</wp:posOffset>
          </wp:positionH>
          <wp:positionV relativeFrom="paragraph">
            <wp:posOffset>-218416</wp:posOffset>
          </wp:positionV>
          <wp:extent cx="721297" cy="721297"/>
          <wp:effectExtent l="0" t="0" r="3175" b="3175"/>
          <wp:wrapTopAndBottom/>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5320"/>
    <w:multiLevelType w:val="multilevel"/>
    <w:tmpl w:val="922C1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60582A"/>
    <w:multiLevelType w:val="multilevel"/>
    <w:tmpl w:val="2288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9F01DC"/>
    <w:multiLevelType w:val="multilevel"/>
    <w:tmpl w:val="0C50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4907951">
    <w:abstractNumId w:val="2"/>
  </w:num>
  <w:num w:numId="2" w16cid:durableId="1946574464">
    <w:abstractNumId w:val="1"/>
  </w:num>
  <w:num w:numId="3" w16cid:durableId="1113792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833"/>
    <w:rsid w:val="00070FF1"/>
    <w:rsid w:val="000C616C"/>
    <w:rsid w:val="002E1A52"/>
    <w:rsid w:val="004B6A0F"/>
    <w:rsid w:val="00603CE8"/>
    <w:rsid w:val="00B91833"/>
    <w:rsid w:val="00C1070A"/>
    <w:rsid w:val="00C31080"/>
    <w:rsid w:val="00D01789"/>
    <w:rsid w:val="00D56F1D"/>
    <w:rsid w:val="00D62A1D"/>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8B975"/>
  <w15:chartTrackingRefBased/>
  <w15:docId w15:val="{E5D6B297-20E6-D546-997E-5E205FA0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
    </w:rPr>
  </w:style>
  <w:style w:type="paragraph" w:styleId="1">
    <w:name w:val="heading 1"/>
    <w:basedOn w:val="a"/>
    <w:next w:val="a"/>
    <w:link w:val="10"/>
    <w:uiPriority w:val="9"/>
    <w:qFormat/>
    <w:rsid w:val="00B91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91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autoRedefine/>
    <w:uiPriority w:val="9"/>
    <w:unhideWhenUsed/>
    <w:qFormat/>
    <w:rsid w:val="00603CE8"/>
    <w:pPr>
      <w:keepNext/>
      <w:keepLines/>
      <w:spacing w:before="160" w:after="80" w:line="240" w:lineRule="auto"/>
      <w:outlineLvl w:val="2"/>
    </w:pPr>
    <w:rPr>
      <w:rFonts w:ascii="Times New Roman" w:eastAsiaTheme="majorEastAsia" w:hAnsi="Times New Roman" w:cstheme="majorBidi"/>
      <w:b/>
      <w:color w:val="0F4761" w:themeColor="accent1" w:themeShade="BF"/>
      <w:kern w:val="0"/>
      <w:sz w:val="28"/>
      <w:szCs w:val="28"/>
      <w:lang w:val="en" w:eastAsia="ru-RU"/>
      <w14:ligatures w14:val="none"/>
    </w:rPr>
  </w:style>
  <w:style w:type="paragraph" w:styleId="4">
    <w:name w:val="heading 4"/>
    <w:basedOn w:val="a"/>
    <w:next w:val="a"/>
    <w:link w:val="40"/>
    <w:autoRedefine/>
    <w:uiPriority w:val="9"/>
    <w:unhideWhenUsed/>
    <w:qFormat/>
    <w:rsid w:val="00D56F1D"/>
    <w:pPr>
      <w:keepNext/>
      <w:keepLines/>
      <w:spacing w:before="80" w:after="40" w:line="240" w:lineRule="auto"/>
      <w:outlineLvl w:val="3"/>
    </w:pPr>
    <w:rPr>
      <w:rFonts w:ascii="Calibri" w:eastAsiaTheme="majorEastAsia" w:hAnsi="Calibri" w:cstheme="majorBidi"/>
      <w:b/>
      <w:i/>
      <w:iCs/>
      <w:color w:val="0F4761" w:themeColor="accent1" w:themeShade="BF"/>
      <w:kern w:val="0"/>
      <w:sz w:val="28"/>
      <w:lang w:eastAsia="ru-RU" w:val="en"/>
      <w14:ligatures w14:val="none"/>
    </w:rPr>
  </w:style>
  <w:style w:type="paragraph" w:styleId="5">
    <w:name w:val="heading 5"/>
    <w:basedOn w:val="a"/>
    <w:next w:val="a"/>
    <w:link w:val="50"/>
    <w:autoRedefine/>
    <w:uiPriority w:val="9"/>
    <w:unhideWhenUsed/>
    <w:qFormat/>
    <w:rsid w:val="00D56F1D"/>
    <w:pPr>
      <w:keepNext/>
      <w:keepLines/>
      <w:spacing w:before="120" w:after="120" w:line="240" w:lineRule="auto"/>
      <w:outlineLvl w:val="4"/>
    </w:pPr>
    <w:rPr>
      <w:rFonts w:ascii="Calibri" w:eastAsiaTheme="majorEastAsia" w:hAnsi="Calibri" w:cs="Calibri"/>
      <w:b/>
      <w:bCs/>
      <w:color w:val="0F4761" w:themeColor="accent1" w:themeShade="BF"/>
      <w:kern w:val="0"/>
      <w:lang w:eastAsia="ru-RU" w:val="en"/>
      <w14:ligatures w14:val="none"/>
    </w:rPr>
  </w:style>
  <w:style w:type="paragraph" w:styleId="6">
    <w:name w:val="heading 6"/>
    <w:basedOn w:val="a"/>
    <w:next w:val="a"/>
    <w:link w:val="60"/>
    <w:uiPriority w:val="9"/>
    <w:semiHidden/>
    <w:unhideWhenUsed/>
    <w:qFormat/>
    <w:rsid w:val="00B9183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9183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9183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9183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D56F1D"/>
    <w:rPr>
      <w:rFonts w:ascii="Calibri" w:eastAsiaTheme="majorEastAsia" w:hAnsi="Calibri" w:cs="Calibri"/>
      <w:b/>
      <w:bCs/>
      <w:color w:val="0F4761" w:themeColor="accent1" w:themeShade="BF"/>
      <w:kern w:val="0"/>
      <w:lang w:eastAsia="ru-RU" w:val="en"/>
      <w14:ligatures w14:val="none"/>
    </w:rPr>
  </w:style>
  <w:style w:type="character" w:customStyle="1" w:styleId="40">
    <w:name w:val="Заголовок 4 Знак"/>
    <w:basedOn w:val="a0"/>
    <w:link w:val="4"/>
    <w:uiPriority w:val="9"/>
    <w:rsid w:val="00D56F1D"/>
    <w:rPr>
      <w:rFonts w:ascii="Calibri" w:eastAsiaTheme="majorEastAsia" w:hAnsi="Calibri" w:cstheme="majorBidi"/>
      <w:b/>
      <w:i/>
      <w:iCs/>
      <w:color w:val="0F4761" w:themeColor="accent1" w:themeShade="BF"/>
      <w:kern w:val="0"/>
      <w:sz w:val="28"/>
      <w:lang w:eastAsia="ru-RU" w:val="en"/>
      <w14:ligatures w14:val="none"/>
    </w:rPr>
  </w:style>
  <w:style w:type="character" w:customStyle="1" w:styleId="30">
    <w:name w:val="Заголовок 3 Знак"/>
    <w:basedOn w:val="a0"/>
    <w:link w:val="3"/>
    <w:uiPriority w:val="9"/>
    <w:rsid w:val="00603CE8"/>
    <w:rPr>
      <w:rFonts w:ascii="Times New Roman" w:eastAsiaTheme="majorEastAsia" w:hAnsi="Times New Roman" w:cstheme="majorBidi"/>
      <w:b/>
      <w:color w:val="0F4761" w:themeColor="accent1" w:themeShade="BF"/>
      <w:kern w:val="0"/>
      <w:sz w:val="28"/>
      <w:szCs w:val="28"/>
      <w:lang w:eastAsia="ru-RU" w:val="en"/>
      <w14:ligatures w14:val="none"/>
    </w:rPr>
  </w:style>
  <w:style w:type="character" w:customStyle="1" w:styleId="10">
    <w:name w:val="Заголовок 1 Знак"/>
    <w:basedOn w:val="a0"/>
    <w:link w:val="1"/>
    <w:uiPriority w:val="9"/>
    <w:rsid w:val="00B91833"/>
    <w:rPr>
      <w:rFonts w:asciiTheme="majorHAnsi" w:eastAsiaTheme="majorEastAsia" w:hAnsiTheme="majorHAnsi" w:cstheme="majorBidi"/>
      <w:color w:val="0F4761" w:themeColor="accent1" w:themeShade="BF"/>
      <w:sz w:val="40"/>
      <w:szCs w:val="40"/>
      <w:lang w:val="en"/>
    </w:rPr>
  </w:style>
  <w:style w:type="character" w:customStyle="1" w:styleId="20">
    <w:name w:val="Заголовок 2 Знак"/>
    <w:basedOn w:val="a0"/>
    <w:link w:val="2"/>
    <w:uiPriority w:val="9"/>
    <w:rsid w:val="00B91833"/>
    <w:rPr>
      <w:rFonts w:asciiTheme="majorHAnsi" w:eastAsiaTheme="majorEastAsia" w:hAnsiTheme="majorHAnsi" w:cstheme="majorBidi"/>
      <w:color w:val="0F4761" w:themeColor="accent1" w:themeShade="BF"/>
      <w:sz w:val="32"/>
      <w:szCs w:val="32"/>
      <w:lang w:val="en"/>
    </w:rPr>
  </w:style>
  <w:style w:type="character" w:customStyle="1" w:styleId="60">
    <w:name w:val="Заголовок 6 Знак"/>
    <w:basedOn w:val="a0"/>
    <w:link w:val="6"/>
    <w:uiPriority w:val="9"/>
    <w:semiHidden/>
    <w:rsid w:val="00B91833"/>
    <w:rPr>
      <w:rFonts w:eastAsiaTheme="majorEastAsia" w:cstheme="majorBidi"/>
      <w:i/>
      <w:iCs/>
      <w:color w:val="595959" w:themeColor="text1" w:themeTint="A6"/>
      <w:lang w:val="en"/>
    </w:rPr>
  </w:style>
  <w:style w:type="character" w:customStyle="1" w:styleId="70">
    <w:name w:val="Заголовок 7 Знак"/>
    <w:basedOn w:val="a0"/>
    <w:link w:val="7"/>
    <w:uiPriority w:val="9"/>
    <w:semiHidden/>
    <w:rsid w:val="00B91833"/>
    <w:rPr>
      <w:rFonts w:eastAsiaTheme="majorEastAsia" w:cstheme="majorBidi"/>
      <w:color w:val="595959" w:themeColor="text1" w:themeTint="A6"/>
      <w:lang w:val="en"/>
    </w:rPr>
  </w:style>
  <w:style w:type="character" w:customStyle="1" w:styleId="80">
    <w:name w:val="Заголовок 8 Знак"/>
    <w:basedOn w:val="a0"/>
    <w:link w:val="8"/>
    <w:uiPriority w:val="9"/>
    <w:semiHidden/>
    <w:rsid w:val="00B91833"/>
    <w:rPr>
      <w:rFonts w:eastAsiaTheme="majorEastAsia" w:cstheme="majorBidi"/>
      <w:i/>
      <w:iCs/>
      <w:color w:val="272727" w:themeColor="text1" w:themeTint="D8"/>
      <w:lang w:val="en"/>
    </w:rPr>
  </w:style>
  <w:style w:type="character" w:customStyle="1" w:styleId="90">
    <w:name w:val="Заголовок 9 Знак"/>
    <w:basedOn w:val="a0"/>
    <w:link w:val="9"/>
    <w:uiPriority w:val="9"/>
    <w:semiHidden/>
    <w:rsid w:val="00B91833"/>
    <w:rPr>
      <w:rFonts w:eastAsiaTheme="majorEastAsia" w:cstheme="majorBidi"/>
      <w:color w:val="272727" w:themeColor="text1" w:themeTint="D8"/>
      <w:lang w:val="en"/>
    </w:rPr>
  </w:style>
  <w:style w:type="paragraph" w:styleId="a3">
    <w:name w:val="Title"/>
    <w:basedOn w:val="a"/>
    <w:next w:val="a"/>
    <w:link w:val="a4"/>
    <w:uiPriority w:val="10"/>
    <w:qFormat/>
    <w:rsid w:val="00B91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91833"/>
    <w:rPr>
      <w:rFonts w:asciiTheme="majorHAnsi" w:eastAsiaTheme="majorEastAsia" w:hAnsiTheme="majorHAnsi" w:cstheme="majorBidi"/>
      <w:spacing w:val="-10"/>
      <w:kern w:val="28"/>
      <w:sz w:val="56"/>
      <w:szCs w:val="56"/>
      <w:lang w:val="en"/>
    </w:rPr>
  </w:style>
  <w:style w:type="paragraph" w:styleId="a5">
    <w:name w:val="Subtitle"/>
    <w:basedOn w:val="a"/>
    <w:next w:val="a"/>
    <w:link w:val="a6"/>
    <w:uiPriority w:val="11"/>
    <w:qFormat/>
    <w:rsid w:val="00B9183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91833"/>
    <w:rPr>
      <w:rFonts w:eastAsiaTheme="majorEastAsia" w:cstheme="majorBidi"/>
      <w:color w:val="595959" w:themeColor="text1" w:themeTint="A6"/>
      <w:spacing w:val="15"/>
      <w:sz w:val="28"/>
      <w:szCs w:val="28"/>
      <w:lang w:val="en"/>
    </w:rPr>
  </w:style>
  <w:style w:type="paragraph" w:styleId="21">
    <w:name w:val="Quote"/>
    <w:basedOn w:val="a"/>
    <w:next w:val="a"/>
    <w:link w:val="22"/>
    <w:uiPriority w:val="29"/>
    <w:qFormat/>
    <w:rsid w:val="00B91833"/>
    <w:pPr>
      <w:spacing w:before="160"/>
      <w:jc w:val="center"/>
    </w:pPr>
    <w:rPr>
      <w:i/>
      <w:iCs/>
      <w:color w:val="404040" w:themeColor="text1" w:themeTint="BF"/>
    </w:rPr>
  </w:style>
  <w:style w:type="character" w:customStyle="1" w:styleId="22">
    <w:name w:val="Цитата 2 Знак"/>
    <w:basedOn w:val="a0"/>
    <w:link w:val="21"/>
    <w:uiPriority w:val="29"/>
    <w:rsid w:val="00B91833"/>
    <w:rPr>
      <w:i/>
      <w:iCs/>
      <w:color w:val="404040" w:themeColor="text1" w:themeTint="BF"/>
      <w:lang w:val="en"/>
    </w:rPr>
  </w:style>
  <w:style w:type="paragraph" w:styleId="a7">
    <w:name w:val="List Paragraph"/>
    <w:basedOn w:val="a"/>
    <w:uiPriority w:val="34"/>
    <w:qFormat/>
    <w:rsid w:val="00B91833"/>
    <w:pPr>
      <w:ind w:left="720"/>
      <w:contextualSpacing/>
    </w:pPr>
  </w:style>
  <w:style w:type="character" w:styleId="a8">
    <w:name w:val="Intense Emphasis"/>
    <w:basedOn w:val="a0"/>
    <w:uiPriority w:val="21"/>
    <w:qFormat/>
    <w:rsid w:val="00B91833"/>
    <w:rPr>
      <w:i/>
      <w:iCs/>
      <w:color w:val="0F4761" w:themeColor="accent1" w:themeShade="BF"/>
    </w:rPr>
  </w:style>
  <w:style w:type="paragraph" w:styleId="a9">
    <w:name w:val="Intense Quote"/>
    <w:basedOn w:val="a"/>
    <w:next w:val="a"/>
    <w:link w:val="aa"/>
    <w:uiPriority w:val="30"/>
    <w:qFormat/>
    <w:rsid w:val="00B91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91833"/>
    <w:rPr>
      <w:i/>
      <w:iCs/>
      <w:color w:val="0F4761" w:themeColor="accent1" w:themeShade="BF"/>
      <w:lang w:val="en"/>
    </w:rPr>
  </w:style>
  <w:style w:type="character" w:styleId="ab">
    <w:name w:val="Intense Reference"/>
    <w:basedOn w:val="a0"/>
    <w:uiPriority w:val="32"/>
    <w:qFormat/>
    <w:rsid w:val="00B91833"/>
    <w:rPr>
      <w:b/>
      <w:bCs/>
      <w:smallCaps/>
      <w:color w:val="0F4761" w:themeColor="accent1" w:themeShade="BF"/>
      <w:spacing w:val="5"/>
    </w:rPr>
  </w:style>
  <w:style w:type="paragraph" w:styleId="ac">
    <w:name w:val="Normal (Web)"/>
    <w:basedOn w:val="a"/>
    <w:uiPriority w:val="99"/>
    <w:semiHidden/>
    <w:unhideWhenUsed/>
    <w:rsid w:val="00B91833"/>
    <w:pPr>
      <w:spacing w:before="100" w:beforeAutospacing="1" w:after="100" w:afterAutospacing="1" w:line="240" w:lineRule="auto"/>
    </w:pPr>
    <w:rPr>
      <w:rFonts w:ascii="Times New Roman" w:eastAsia="Times New Roman" w:hAnsi="Times New Roman" w:cs="Times New Roman"/>
      <w:kern w:val="0"/>
      <w:lang w:val="en" w:eastAsia="ru-RU"/>
      <w14:ligatures w14:val="none"/>
    </w:rPr>
  </w:style>
  <w:style w:type="character" w:styleId="ad">
    <w:name w:val="Strong"/>
    <w:basedOn w:val="a0"/>
    <w:uiPriority w:val="22"/>
    <w:qFormat/>
    <w:rsid w:val="00B91833"/>
    <w:rPr>
      <w:b/>
      <w:bCs/>
    </w:rPr>
  </w:style>
  <w:style w:type="table" w:styleId="ae">
    <w:name w:val="Table Grid"/>
    <w:basedOn w:val="a1"/>
    <w:uiPriority w:val="39"/>
    <w:rsid w:val="00B91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2E1A52"/>
    <w:pPr>
      <w:tabs>
        <w:tab w:val="center" w:pos="4513"/>
        <w:tab w:val="right" w:pos="9026"/>
      </w:tabs>
      <w:spacing w:after="0" w:line="240" w:lineRule="auto"/>
    </w:pPr>
  </w:style>
  <w:style w:type="character" w:customStyle="1" w:styleId="af0">
    <w:name w:val="Верхний колонтитул Знак"/>
    <w:basedOn w:val="a0"/>
    <w:link w:val="af"/>
    <w:uiPriority w:val="99"/>
    <w:rsid w:val="002E1A52"/>
    <w:rPr>
      <w:lang w:val="en"/>
    </w:rPr>
  </w:style>
  <w:style w:type="paragraph" w:styleId="af1">
    <w:name w:val="footer"/>
    <w:basedOn w:val="a"/>
    <w:link w:val="af2"/>
    <w:uiPriority w:val="99"/>
    <w:unhideWhenUsed/>
    <w:qFormat/>
    <w:rsid w:val="002E1A52"/>
    <w:pPr>
      <w:tabs>
        <w:tab w:val="center" w:pos="4513"/>
        <w:tab w:val="right" w:pos="9026"/>
      </w:tabs>
      <w:spacing w:after="0" w:line="240" w:lineRule="auto"/>
    </w:pPr>
  </w:style>
  <w:style w:type="character" w:customStyle="1" w:styleId="af2">
    <w:name w:val="Нижний колонтитул Знак"/>
    <w:basedOn w:val="a0"/>
    <w:link w:val="af1"/>
    <w:uiPriority w:val="99"/>
    <w:rsid w:val="002E1A52"/>
    <w:rPr>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1668</Words>
  <Characters>9508</Characters>
  <Application>Microsoft Office Word</Application>
  <DocSecurity>0</DocSecurity>
  <Lines>79</Lines>
  <Paragraphs>22</Paragraphs>
  <ScaleCrop>false</ScaleCrop>
  <Company/>
  <LinksUpToDate>false</LinksUpToDate>
  <CharactersWithSpaces>11154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3</cp:revision>
  <dcterms:created xsi:type="dcterms:W3CDTF">2026-03-16T11:56:00Z</dcterms:created>
  <dcterms:modified xsi:type="dcterms:W3CDTF">2026-03-16T12:04:00Z</dcterms:modified>
</cp:coreProperties>
</file>