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1420" w14:textId="52F25C37" w:rsidR="00B91833" w:rsidRPr="00B91833" w:rsidRDefault="00B91833" w:rsidP="00B91833">
      <w:pPr xmlns:w="http://schemas.openxmlformats.org/wordprocessingml/2006/main" xmlns:w14="http://schemas.microsoft.com/office/word/2010/wordml">
        <w:spacing w:after="120" w:line="240" w:lineRule="auto"/>
        <w:jc w:val="both"/>
        <w:outlineLvl w:val="0"/>
        <w:rPr>
          <w:rFonts w:ascii="Calibri" w:eastAsia="Times New Roman" w:hAnsi="Calibri" w:cs="Calibri"/>
          <w:b/>
          <w:bCs/>
          <w:color w:val="1F1F1F"/>
          <w:kern w:val="36"/>
          <w:sz w:val="40"/>
          <w:szCs w:val="32"/>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36"/>
          <w:sz w:val="40"/>
          <w:szCs w:val="32"/>
          <w:lang w:val="ru-BG" w:eastAsia="ru-RU"/>
          <w14:ligatures w14:val="none"/>
        </w:rPr>
        <w:t xml:space="preserve">Document Update. Serbia's Nuclear Revival: Policy, Partnerships, and Implementation Strategy (Status Report 2025–2026)</w:t>
      </w:r>
    </w:p>
    <w:p w14:paraId="67D4F24F" w14:textId="77777777" w:rsidR="00B91833" w:rsidRPr="00B91833" w:rsidRDefault="00B91833" w:rsidP="00B91833">
      <w:pPr>
        <w:spacing w:after="120" w:line="240" w:lineRule="auto"/>
        <w:jc w:val="both"/>
        <w:outlineLvl w:val="1"/>
        <w:rPr>
          <w:rFonts w:ascii="Calibri" w:eastAsia="Times New Roman" w:hAnsi="Calibri" w:cs="Calibri"/>
          <w:b/>
          <w:bCs/>
          <w:color w:val="1F1F1F"/>
          <w:kern w:val="0"/>
          <w:sz w:val="36"/>
          <w:szCs w:val="36"/>
          <w:lang w:val="ru-BG" w:eastAsia="ru-RU"/>
          <w14:ligatures w14:val="none"/>
        </w:rPr>
      </w:pPr>
    </w:p>
    <w:p w14:paraId="32051383" w14:textId="169B889F"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Introduction to the updated edition (2025–2026)</w:t>
      </w:r>
    </w:p>
    <w:p w14:paraId="07CA5A31"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Over the past six months, the nuclear energy landscape in the Republic of Serbia has undergone fundamental changes, rapidly moving from the stage of strategic intentions to the stage of practical implementation. The lifting of the 35-year moratorium on nuclear power plant construction at the end of 2024 and the official launch of Phase 1 according to the IAEA methodology marked the beginning of a new era in the country's industrial policy.</w:t>
      </w:r>
    </w:p>
    <w:p w14:paraId="78F2B5DB"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initial program concepts, focused primarily on the long-term future of small modular reactors (SMRs), have evolved. Belgrade has now adopted a more pragmatic approach, expanding the target range to include the deployment of high-power units (1000–1650 MW). This has entailed a significant revision of the basic financial models—with initial capital expenditures estimated at approximately €3 billion—and the adoption of more aggressive preparation schedules. At the same time, competition among international vendors for participation in the Serbian project has intensified significantly, attracting key technology players from France, South Korea, and Russia.</w:t>
      </w:r>
    </w:p>
    <w:p w14:paraId="12378B45"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However, the main challenge for Serbia in the coming decade (before the planned start of construction in 2035) is not so much the choice of reactor technology as bridging the institutional and infrastructural gap. The country's lack of practical experience in implementing nuclear projects for more than half a century makes the preparatory phase critical.</w:t>
      </w:r>
    </w:p>
    <w:p w14:paraId="304AEEF6" w14:textId="6F60A38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This updated report analyzes the current geopolitical, technological, and economic dynamics for 2025–2026. The document places particular emphasis on the engineering and construction sectors. Given the acute shortage of local expertise, the safety and success of the entire national program will directly depend on the involvement of highly qualified construction consulting. Effective project management, technical supervision, site preparation, and the adaptation of international projects to local realities are fundamental tasks that require professional engineering intervention well before the commissioning of facilities.</w:t>
      </w:r>
    </w:p>
    <w:p w14:paraId="282D2638" w14:textId="5D7466FE" w:rsidR="00D62A1D" w:rsidRDefault="00D62A1D">
      <w:pPr>
        <w:rPr>
          <w:rFonts w:ascii="Calibri" w:eastAsia="Times New Roman" w:hAnsi="Calibri" w:cs="Calibri"/>
          <w:b/>
          <w:bCs/>
          <w:color w:val="1F1F1F"/>
          <w:kern w:val="36"/>
          <w:sz w:val="48"/>
          <w:szCs w:val="48"/>
          <w:lang w:val="ru-BG" w:eastAsia="ru-RU"/>
          <w14:ligatures w14:val="none"/>
        </w:rPr>
      </w:pPr>
      <w:r>
        <w:rPr>
          <w:rFonts w:ascii="Calibri" w:eastAsia="Times New Roman" w:hAnsi="Calibri" w:cs="Calibri"/>
          <w:b/>
          <w:bCs/>
          <w:color w:val="1F1F1F"/>
          <w:kern w:val="36"/>
          <w:sz w:val="48"/>
          <w:szCs w:val="48"/>
          <w:lang w:val="ru-BG" w:eastAsia="ru-RU"/>
          <w14:ligatures w14:val="none"/>
        </w:rPr>
        <w:br w:type="page"/>
      </w:r>
    </w:p>
    <w:p w14:paraId="55A0090C" w14:textId="77777777" w:rsidR="00B91833" w:rsidRPr="00B91833" w:rsidRDefault="00B91833" w:rsidP="00B91833">
      <w:pPr>
        <w:spacing w:after="120" w:line="240" w:lineRule="auto"/>
        <w:jc w:val="both"/>
        <w:outlineLvl w:val="0"/>
        <w:rPr>
          <w:rFonts w:ascii="Calibri" w:eastAsia="Times New Roman" w:hAnsi="Calibri" w:cs="Calibri"/>
          <w:b/>
          <w:bCs/>
          <w:color w:val="1F1F1F"/>
          <w:kern w:val="36"/>
          <w:sz w:val="48"/>
          <w:szCs w:val="48"/>
          <w:lang w:val="ru-BG" w:eastAsia="ru-RU"/>
          <w14:ligatures w14:val="none"/>
        </w:rPr>
      </w:pPr>
    </w:p>
    <w:p w14:paraId="0042DC35"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I. Strategic Imperatives and Policy Framework</w:t>
      </w:r>
    </w:p>
    <w:p w14:paraId="200682CC"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Serbia's Energy Trilemma: The Case for Returning to the Atom</w:t>
      </w:r>
    </w:p>
    <w:p w14:paraId="34D47FAA"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Republic of Serbia's decision to revive its civilian nuclear program is a direct response to a pressing energy trilemma: security of supply, economic competitiveness, and carbon emission reduction goals. Serbia views nuclear energy as a key tool for ensuring strategic energy independence. Political leaders have repeatedly emphasized that without baseload nuclear power, the country will not be able to meet the growing demand associated with the development of new technologies and industry.</w:t>
      </w:r>
    </w:p>
    <w:p w14:paraId="57325D6B"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Legislative and Political Restructuring</w:t>
      </w:r>
    </w:p>
    <w:p w14:paraId="4236C8B5"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A fundamental step legally enshrining the nuclear revival was the adoption of amendments to the Energy Law by the National Assembly of Serbia in November 2024. This act officially lifted the 35-year moratorium on nuclear power plant construction. Subsequently, a specialized Directorate for Nuclear Energy Development was established. In close cooperation with the IAEA and relevant European institutions, the development of an official state Program for the Development of Peaceful Nuclear Energy has begun, demonstrating a systematic approach to integration into the European regulatory framework.</w:t>
      </w:r>
    </w:p>
    <w:p w14:paraId="4ABEA4BD"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C. Policy Milestones (2024–2026)</w:t>
      </w:r>
    </w:p>
    <w:tbl>
      <w:tblPr>
        <w:tblStyle w:val="ae"/>
        <w:tblW w:w="0" w:type="auto"/>
        <w:tblLook w:val="04A0" w:firstRow="1" w:lastRow="0" w:firstColumn="1" w:lastColumn="0" w:noHBand="0" w:noVBand="1"/>
      </w:tblPr>
      <w:tblGrid>
        <w:gridCol w:w="1278"/>
        <w:gridCol w:w="4033"/>
        <w:gridCol w:w="3705"/>
      </w:tblGrid>
      <w:tr w:rsidR="00B91833" w:rsidRPr="00B91833" w14:paraId="2E5DB94A" w14:textId="77777777" w:rsidTr="00D62A1D">
        <w:trPr>
          <w:tblHeader/>
        </w:trPr>
        <w:tc>
          <w:tcPr>
            <w:tcW w:w="0" w:type="auto"/>
            <w:shd w:val="clear" w:color="auto" w:fill="DAE9F7" w:themeFill="text2" w:themeFillTint="1A"/>
            <w:hideMark/>
          </w:tcPr>
          <w:p w14:paraId="0EC2D076"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Date / Period</w:t>
            </w:r>
          </w:p>
        </w:tc>
        <w:tc>
          <w:tcPr>
            <w:tcW w:w="0" w:type="auto"/>
            <w:shd w:val="clear" w:color="auto" w:fill="DAE9F7" w:themeFill="text2" w:themeFillTint="1A"/>
            <w:hideMark/>
          </w:tcPr>
          <w:p w14:paraId="62C404A0"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Event Description</w:t>
            </w:r>
          </w:p>
        </w:tc>
        <w:tc>
          <w:tcPr>
            <w:tcW w:w="0" w:type="auto"/>
            <w:shd w:val="clear" w:color="auto" w:fill="DAE9F7" w:themeFill="text2" w:themeFillTint="1A"/>
            <w:hideMark/>
          </w:tcPr>
          <w:p w14:paraId="14F24C17"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Significance</w:t>
            </w:r>
          </w:p>
        </w:tc>
      </w:tr>
      <w:tr w:rsidR="00B91833" w:rsidRPr="00B91833" w14:paraId="5D5C5886" w14:textId="77777777" w:rsidTr="00B91833">
        <w:tc>
          <w:tcPr>
            <w:tcW w:w="0" w:type="auto"/>
            <w:hideMark/>
          </w:tcPr>
          <w:p w14:paraId="5C9A28CB"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November 2024</w:t>
            </w:r>
          </w:p>
        </w:tc>
        <w:tc>
          <w:tcPr>
            <w:tcW w:w="0" w:type="auto"/>
            <w:hideMark/>
          </w:tcPr>
          <w:p w14:paraId="211BD694"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National Assembly votes on amendments to the Energy Law.</w:t>
            </w:r>
          </w:p>
        </w:tc>
        <w:tc>
          <w:tcPr>
            <w:tcW w:w="0" w:type="auto"/>
            <w:hideMark/>
          </w:tcPr>
          <w:p w14:paraId="4403B5A5"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The 35-year moratorium on nuclear power plants has officially ended.</w:t>
            </w:r>
          </w:p>
        </w:tc>
      </w:tr>
      <w:tr w:rsidR="00B91833" w:rsidRPr="00B91833" w14:paraId="073C0E6F" w14:textId="77777777" w:rsidTr="00B91833">
        <w:tc>
          <w:tcPr>
            <w:tcW w:w="0" w:type="auto"/>
            <w:hideMark/>
          </w:tcPr>
          <w:p w14:paraId="3ABD07DD"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2025</w:t>
            </w:r>
          </w:p>
        </w:tc>
        <w:tc>
          <w:tcPr>
            <w:tcW w:w="0" w:type="auto"/>
            <w:hideMark/>
          </w:tcPr>
          <w:p w14:paraId="00E37471"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Completion of the Preliminary Technical Study (EDF/Egis).</w:t>
            </w:r>
          </w:p>
        </w:tc>
        <w:tc>
          <w:tcPr>
            <w:tcW w:w="0" w:type="auto"/>
            <w:hideMark/>
          </w:tcPr>
          <w:p w14:paraId="30F6CDA5"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Formation of basic technical and infrastructural contours of the program.</w:t>
            </w:r>
          </w:p>
        </w:tc>
      </w:tr>
      <w:tr w:rsidR="00B91833" w:rsidRPr="00B91833" w14:paraId="3A93CF42" w14:textId="77777777" w:rsidTr="00B91833">
        <w:tc>
          <w:tcPr>
            <w:tcW w:w="0" w:type="auto"/>
            <w:hideMark/>
          </w:tcPr>
          <w:p w14:paraId="26026EFC"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September 2025</w:t>
            </w:r>
          </w:p>
        </w:tc>
        <w:tc>
          <w:tcPr>
            <w:tcW w:w="0" w:type="auto"/>
            <w:hideMark/>
          </w:tcPr>
          <w:p w14:paraId="466893A6"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Signing of two Memorandums of Understanding with South Korea's KHNP.</w:t>
            </w:r>
          </w:p>
        </w:tc>
        <w:tc>
          <w:tcPr>
            <w:tcW w:w="0" w:type="auto"/>
            <w:hideMark/>
          </w:tcPr>
          <w:p w14:paraId="34F51E2F"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Expanding the pool of potential technology partners.</w:t>
            </w:r>
          </w:p>
        </w:tc>
      </w:tr>
      <w:tr w:rsidR="00B91833" w:rsidRPr="00B91833" w14:paraId="2C51E924" w14:textId="77777777" w:rsidTr="00B91833">
        <w:tc>
          <w:tcPr>
            <w:tcW w:w="0" w:type="auto"/>
            <w:hideMark/>
          </w:tcPr>
          <w:p w14:paraId="5382FD2E"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November 2025</w:t>
            </w:r>
          </w:p>
        </w:tc>
        <w:tc>
          <w:tcPr>
            <w:tcW w:w="0" w:type="auto"/>
            <w:hideMark/>
          </w:tcPr>
          <w:p w14:paraId="63379E42"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Signing of a Memorandum between the French EDF and the Serbian Vinča Institute.</w:t>
            </w:r>
          </w:p>
        </w:tc>
        <w:tc>
          <w:tcPr>
            <w:tcW w:w="0" w:type="auto"/>
            <w:hideMark/>
          </w:tcPr>
          <w:p w14:paraId="67BF2DEE"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Strengthening scientific and technical cooperation with France.</w:t>
            </w:r>
          </w:p>
        </w:tc>
      </w:tr>
      <w:tr w:rsidR="00B91833" w:rsidRPr="00B91833" w14:paraId="5E98E1DC" w14:textId="77777777" w:rsidTr="00B91833">
        <w:tc>
          <w:tcPr>
            <w:tcW w:w="0" w:type="auto"/>
            <w:hideMark/>
          </w:tcPr>
          <w:p w14:paraId="5D69D036"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February 2026</w:t>
            </w:r>
          </w:p>
        </w:tc>
        <w:tc>
          <w:tcPr>
            <w:tcW w:w="0" w:type="auto"/>
            <w:hideMark/>
          </w:tcPr>
          <w:p w14:paraId="3F65820E"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Request for financial support from the French Development Agency (AFD); negotiations with Rosatom management in Belgrade.</w:t>
            </w:r>
          </w:p>
        </w:tc>
        <w:tc>
          <w:tcPr>
            <w:tcW w:w="0" w:type="auto"/>
            <w:hideMark/>
          </w:tcPr>
          <w:p w14:paraId="343B3624"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Intensifying efforts to attract funding and evaluating proposals from alternative vendors.</w:t>
            </w:r>
          </w:p>
        </w:tc>
      </w:tr>
      <w:tr w:rsidR="00B91833" w:rsidRPr="00B91833" w14:paraId="2C5ABDE9" w14:textId="77777777" w:rsidTr="00B91833">
        <w:tc>
          <w:tcPr>
            <w:tcW w:w="0" w:type="auto"/>
            <w:hideMark/>
          </w:tcPr>
          <w:p w14:paraId="2A1DAC82"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March 2026</w:t>
            </w:r>
          </w:p>
        </w:tc>
        <w:tc>
          <w:tcPr>
            <w:tcW w:w="0" w:type="auto"/>
            <w:hideMark/>
          </w:tcPr>
          <w:p w14:paraId="4F6FCD2B"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Approval of the target dates for Phase 1 according to the IAEA methodology.</w:t>
            </w:r>
          </w:p>
        </w:tc>
        <w:tc>
          <w:tcPr>
            <w:tcW w:w="0" w:type="auto"/>
            <w:hideMark/>
          </w:tcPr>
          <w:p w14:paraId="0F1ED193" w14:textId="77777777" w:rsidR="00B91833" w:rsidRPr="00B91833" w:rsidRDefault="00B91833" w:rsidP="00B91833">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bdr w:val="none" w:sz="0" w:space="0" w:color="auto" w:frame="1"/>
                <w:lang w:val="ru-BG" w:eastAsia="ru-RU"/>
                <w14:ligatures w14:val="none"/>
              </w:rPr>
              <w:t xml:space="preserve">Schedule commitment: Completion of the preparatory Phase 1 by mid-2027.</w:t>
            </w:r>
          </w:p>
        </w:tc>
      </w:tr>
    </w:tbl>
    <w:p w14:paraId="30344E64" w14:textId="2BC91E22"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61B01563"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II. Creation of Software Infrastructure and Regulatory Framework</w:t>
      </w:r>
    </w:p>
    <w:p w14:paraId="3B31669C"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Commitment to the IAEA Phased Approach</w:t>
      </w:r>
    </w:p>
    <w:p w14:paraId="713A3ADF"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Serbia has officially commenced Phase 1 of the IAEA program. According to the relevant ministry, completion of this preparatory phase is scheduled for mid-2027. The newly established Directorate for Nuclear Energy Development has assumed coordinating functions. Successful completion of the first phases and the establishment of an independent regulatory authority remain essential for proceeding to construction and securing the confidence of the international community.</w:t>
      </w:r>
    </w:p>
    <w:p w14:paraId="61F172CC"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Preliminary Technical Study</w:t>
      </w:r>
    </w:p>
    <w:p w14:paraId="06CDEAA2"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completion of the Preliminary Technical Study, led by France's EDF and the engineering company Egis, in 2025 provided the government with the necessary guidance for early action and network integration. French participation continues to deepen, as evidenced by recent agreements with the Vinča Institute, giving European standards a significant advantage in shaping future tender requirements.</w:t>
      </w:r>
    </w:p>
    <w:p w14:paraId="24AEF942"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C. Updated Program Development Schedule</w:t>
      </w:r>
    </w:p>
    <w:p w14:paraId="679D197D" w14:textId="77777777" w:rsidR="00B91833" w:rsidRPr="00B91833" w:rsidRDefault="00B91833" w:rsidP="00B91833">
      <w:pPr xmlns:w="http://schemas.openxmlformats.org/wordprocessingml/2006/main" xmlns:w14="http://schemas.microsoft.com/office/word/2010/wordml">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strategic timeframe for the project's implementation was adjusted to reflect market realities and the scale of the tasks:</w:t>
      </w:r>
    </w:p>
    <w:p w14:paraId="10E7B950" w14:textId="77777777" w:rsidR="00B91833" w:rsidRPr="00B91833" w:rsidRDefault="00B91833" w:rsidP="00B91833">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Mid-2027: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Completion of Phase 1 according to the IAEA methodology (Establishment of the legal/regulatory framework and justification).</w:t>
      </w:r>
    </w:p>
    <w:p w14:paraId="24BCF0EE" w14:textId="77777777" w:rsidR="00B91833" w:rsidRPr="00B91833" w:rsidRDefault="00B91833" w:rsidP="00B91833">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By 2035: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Final investment decision and commencement of construction of the first power unit.</w:t>
      </w:r>
    </w:p>
    <w:p w14:paraId="7F739D25" w14:textId="77777777" w:rsidR="00B91833" w:rsidRPr="00B91833" w:rsidRDefault="00B91833" w:rsidP="00B91833">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After 2040: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Expected commissioning of the first nuclear power plant into commercial operation.</w:t>
      </w:r>
    </w:p>
    <w:p w14:paraId="1160879C" w14:textId="5D95C169"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3F3F2631"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lastRenderedPageBreak xmlns:w="http://schemas.openxmlformats.org/wordprocessingml/2006/main"/>
      </w: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III. Technological Path: Diversification of Capacities</w:t>
      </w:r>
    </w:p>
    <w:p w14:paraId="74A8FA51"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Expansion of Target Capacity (1000–1650 MW)</w:t>
      </w:r>
    </w:p>
    <w:p w14:paraId="1197F16F"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In contrast to the initial focus exclusively on small modular reactors (SMRs), Serbia's strategy for 2025-2026 has become more pragmatic. The current target range for the first project is set at 1,000 to 1,650 MW. This means that traditional large-scale Generation III+ power units are now being seriously considered alongside SMR clusters. This reduces the technological risks associated with waiting for SMR commercialization and relies on proven, reference solutions.</w:t>
      </w:r>
    </w:p>
    <w:p w14:paraId="0D15FA7B"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Integration Limitations</w:t>
      </w:r>
    </w:p>
    <w:p w14:paraId="1F36FB48"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Large-scale baseload capacity will require a major modernization of Serbia's transmission infrastructure. The period up to 2035 will be critical for adapting the national power system, regulating the balancing market, and preparing sites to accommodate such generation volumes.</w:t>
      </w:r>
    </w:p>
    <w:p w14:paraId="1B52AE48" w14:textId="5529C8C9"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4DF4D1AD"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IV. International Partnership Landscape and Geopolitical Dynamics</w:t>
      </w:r>
    </w:p>
    <w:p w14:paraId="441CCBAA"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Choosing a partner remains a difficult strategic decision. Competition for the Serbian project has intensified significantly.</w:t>
      </w:r>
    </w:p>
    <w:p w14:paraId="1FBE0F3A"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French Anchor</w:t>
      </w:r>
    </w:p>
    <w:p w14:paraId="595AEF13"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France firmly holds the position of lead consultant. In addition to the completed technical study, the partnership is underpinned by active dialogue on financing: in February 2026, Belgrade formally requested support from the French Development Agency (AFD) for the implementation of the initial stages of the program.</w:t>
      </w:r>
    </w:p>
    <w:p w14:paraId="10927EED"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Alternative Bidders: South Korea and Russia</w:t>
      </w:r>
    </w:p>
    <w:p w14:paraId="5F1C0776" w14:textId="77777777" w:rsidR="00B91833" w:rsidRPr="00B91833" w:rsidRDefault="00B91833" w:rsidP="00B91833">
      <w:pPr xmlns:w="http://schemas.openxmlformats.org/wordprocessingml/2006/main" xmlns:w14="http://schemas.microsoft.com/office/word/2010/wordml">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Serbia is actively diversifying its contacts to strengthen its negotiating position:</w:t>
      </w:r>
    </w:p>
    <w:p w14:paraId="51573101" w14:textId="77777777" w:rsidR="00B91833" w:rsidRPr="00B91833" w:rsidRDefault="00B91833" w:rsidP="00B91833">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South Korea (KHNP):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signing of two MOUs in September 2025 has positioned Seoul as a viable contender, offering proven technologies (such as the APR-1400), on-time construction, and competitive financial packages.</w:t>
      </w:r>
    </w:p>
    <w:p w14:paraId="18FFC5DD" w14:textId="77777777" w:rsidR="00B91833" w:rsidRPr="00B91833" w:rsidRDefault="00B91833" w:rsidP="00B91833">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Russia (Rosatom):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February 2026 talks in Belgrade confirm that Russia's proposals for integrated turnkey construction and vendor financing remain on the table, despite the challenging geopolitical context.</w:t>
      </w:r>
    </w:p>
    <w:p w14:paraId="2756623D" w14:textId="375FE741" w:rsidR="00D62A1D" w:rsidRDefault="00D62A1D">
      <w:pPr>
        <w:rPr>
          <w:rFonts w:ascii="Calibri" w:eastAsia="Times New Roman" w:hAnsi="Calibri" w:cs="Calibri"/>
          <w:color w:val="1F1F1F"/>
          <w:kern w:val="0"/>
          <w:lang w:val="ru-BG" w:eastAsia="ru-RU"/>
          <w14:ligatures w14:val="none"/>
        </w:rPr>
      </w:pPr>
      <w:r>
        <w:rPr>
          <w:rFonts w:ascii="Calibri" w:eastAsia="Times New Roman" w:hAnsi="Calibri" w:cs="Calibri"/>
          <w:color w:val="1F1F1F"/>
          <w:kern w:val="0"/>
          <w:lang w:val="ru-BG" w:eastAsia="ru-RU"/>
          <w14:ligatures w14:val="none"/>
        </w:rPr>
        <w:br w:type="page"/>
      </w:r>
    </w:p>
    <w:p w14:paraId="7537788F" w14:textId="77777777"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3803856B"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V. Financial Modeling and Investment Strategy</w:t>
      </w:r>
    </w:p>
    <w:p w14:paraId="7A2229BE"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Updated Cost Estimate</w:t>
      </w:r>
    </w:p>
    <w:p w14:paraId="0BA84FFE" w14:textId="77777777" w:rsidR="00B91833" w:rsidRPr="00B91833" w:rsidRDefault="00B91833" w:rsidP="00B91833">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Due to a revised technological approach (focusing on one large unit or equivalent with a capacity of 1000–1650 MW instead of four SMRs), the initial capital cost estimate has been adjusted. Current estimates are around </w:t>
      </w: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€3 billion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for the first installation. This amount represents a more realistic starting point for the state budget, although it still requires significant external participation.</w:t>
      </w:r>
    </w:p>
    <w:p w14:paraId="53118163"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Financing Strategy</w:t>
      </w:r>
    </w:p>
    <w:p w14:paraId="619DA30E"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Given the demand for institutions like the AFD, Serbia is relying on structured project financing, leveraging sovereign loans and the support of Western export credit agencies (ECAs). Success in attracting such funds will directly depend on the transparency of the institutional framework being created and strict adherence to IAEA standards.</w:t>
      </w:r>
    </w:p>
    <w:p w14:paraId="77854618" w14:textId="4CC47EEA"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4EDF0A24"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VI. Key Risks, Opportunities, and Strategic Recommendations</w:t>
      </w:r>
    </w:p>
    <w:p w14:paraId="5D94F7D8"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A. Risks: Institutional Framework and Consent</w:t>
      </w:r>
    </w:p>
    <w:p w14:paraId="36F50178"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main non-financial risk remains the pace of establishing an independent and fully staffed regulator. Any delay in establishing enforcement practices could push the start of construction beyond 2035.</w:t>
      </w:r>
    </w:p>
    <w:p w14:paraId="704636ED" w14:textId="77777777" w:rsidR="00B91833" w:rsidRPr="00B91833" w:rsidRDefault="00B91833" w:rsidP="00B91833">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F1F1F"/>
          <w:kern w:val="0"/>
          <w:sz w:val="27"/>
          <w:szCs w:val="27"/>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27"/>
          <w:szCs w:val="27"/>
          <w:lang w:val="ru-BG" w:eastAsia="ru-RU"/>
          <w14:ligatures w14:val="none"/>
        </w:rPr>
        <w:t xml:space="preserve">B. Capabilities: Engineering and Construction Consulting</w:t>
      </w:r>
    </w:p>
    <w:p w14:paraId="50B6163C"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implementation of the nuclear program is opening an unprecedented market for high-tech engineering and consulting. The acute shortage of local expertise is creating a niche for specialized engineering companies.</w:t>
      </w:r>
    </w:p>
    <w:p w14:paraId="747FEA77" w14:textId="77777777" w:rsidR="00B91833" w:rsidRPr="00B91833" w:rsidRDefault="00B91833" w:rsidP="00B91833">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key focus should be placed </w:t>
      </w: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solely on the nuclear construction sector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 Before the construction phase begins in 2035, Serbia will require extensive support in:</w:t>
      </w:r>
    </w:p>
    <w:p w14:paraId="6A52BBEF" w14:textId="77777777" w:rsidR="00B91833" w:rsidRPr="00B91833" w:rsidRDefault="00B91833" w:rsidP="00B91833">
      <w:pPr xmlns:w="http://schemas.openxmlformats.org/wordprocessingml/2006/main" xmlns:w14="http://schemas.microsoft.com/office/word/2010/wordml">
        <w:numPr>
          <w:ilvl w:val="0"/>
          <w:numId w:val="3"/>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Adaptation of international projects (French, Korean or other) to local building codes and quality standards.</w:t>
      </w:r>
    </w:p>
    <w:p w14:paraId="03009E76" w14:textId="77777777" w:rsidR="00B91833" w:rsidRPr="00B91833" w:rsidRDefault="00B91833" w:rsidP="00B91833">
      <w:pPr xmlns:w="http://schemas.openxmlformats.org/wordprocessingml/2006/main" xmlns:w14="http://schemas.microsoft.com/office/word/2010/wordml">
        <w:numPr>
          <w:ilvl w:val="0"/>
          <w:numId w:val="3"/>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Project Management and technical supervision.</w:t>
      </w:r>
    </w:p>
    <w:p w14:paraId="49CBD827" w14:textId="77777777" w:rsidR="00B91833" w:rsidRPr="00B91833" w:rsidRDefault="00B91833" w:rsidP="00B91833">
      <w:pPr xmlns:w="http://schemas.openxmlformats.org/wordprocessingml/2006/main" xmlns:w14="http://schemas.microsoft.com/office/word/2010/wordml">
        <w:numPr>
          <w:ilvl w:val="0"/>
          <w:numId w:val="3"/>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Preparation of site infrastructure and integration of construction materials supply chains.</w:t>
      </w:r>
    </w:p>
    <w:p w14:paraId="2C302E5B" w14:textId="77777777" w:rsidR="00B91833" w:rsidRPr="00B91833" w:rsidRDefault="00B91833" w:rsidP="00B91833">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This situation is ideal for consulting and engineering companies (such as NUCON doo), whose business model is based on providing expert services during the design, site licensing, and construction management stages, </w:t>
      </w:r>
      <w:r xmlns:w="http://schemas.openxmlformats.org/wordprocessingml/2006/main" xmlns:w14="http://schemas.microsoft.com/office/word/2010/wordml" w:rsidRPr="00B91833">
        <w:rPr>
          <w:rFonts w:ascii="Calibri" w:eastAsia="Times New Roman" w:hAnsi="Calibri" w:cs="Calibri"/>
          <w:b/>
          <w:bCs/>
          <w:color w:val="1F1F1F"/>
          <w:kern w:val="0"/>
          <w:bdr w:val="none" w:sz="0" w:space="0" w:color="auto" w:frame="1"/>
          <w:lang w:val="ru-BG" w:eastAsia="ru-RU"/>
          <w14:ligatures w14:val="none"/>
        </w:rPr>
        <w:t xml:space="preserve">without the need for direct operating licenses </w:t>
      </w: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 The development of the nuclear construction sector will become the main driver of technological modernization in related industries in Serbia over the next 10-15 years.</w:t>
      </w:r>
    </w:p>
    <w:p w14:paraId="4F6F2FE6" w14:textId="2945C587" w:rsidR="00B91833" w:rsidRPr="00B91833" w:rsidRDefault="00B91833" w:rsidP="00B91833">
      <w:pPr>
        <w:spacing w:after="120" w:line="240" w:lineRule="auto"/>
        <w:jc w:val="both"/>
        <w:rPr>
          <w:rFonts w:ascii="Calibri" w:eastAsia="Times New Roman" w:hAnsi="Calibri" w:cs="Calibri"/>
          <w:color w:val="1F1F1F"/>
          <w:kern w:val="0"/>
          <w:lang w:val="ru-BG" w:eastAsia="ru-RU"/>
          <w14:ligatures w14:val="none"/>
        </w:rPr>
      </w:pPr>
    </w:p>
    <w:p w14:paraId="778D7866" w14:textId="77777777" w:rsidR="00B91833" w:rsidRPr="00B91833" w:rsidRDefault="00B91833" w:rsidP="00B91833">
      <w:pPr xmlns:w="http://schemas.openxmlformats.org/wordprocessingml/2006/main" xmlns:w14="http://schemas.microsoft.com/office/word/2010/wordml">
        <w:spacing w:after="120" w:line="240" w:lineRule="auto"/>
        <w:jc w:val="both"/>
        <w:outlineLvl w:val="1"/>
        <w:rPr>
          <w:rFonts w:ascii="Calibri" w:eastAsia="Times New Roman" w:hAnsi="Calibri" w:cs="Calibri"/>
          <w:b/>
          <w:bCs/>
          <w:color w:val="1F1F1F"/>
          <w:kern w:val="0"/>
          <w:sz w:val="36"/>
          <w:szCs w:val="36"/>
          <w:lang w:val="ru-BG" w:eastAsia="ru-RU"/>
          <w14:ligatures w14:val="none"/>
        </w:rPr>
      </w:pPr>
      <w:r xmlns:w="http://schemas.openxmlformats.org/wordprocessingml/2006/main" xmlns:w14="http://schemas.microsoft.com/office/word/2010/wordml" w:rsidRPr="00B91833">
        <w:rPr>
          <w:rFonts w:ascii="Calibri" w:eastAsia="Times New Roman" w:hAnsi="Calibri" w:cs="Calibri"/>
          <w:b/>
          <w:bCs/>
          <w:color w:val="1F1F1F"/>
          <w:kern w:val="0"/>
          <w:sz w:val="36"/>
          <w:szCs w:val="36"/>
          <w:lang w:val="ru-BG" w:eastAsia="ru-RU"/>
          <w14:ligatures w14:val="none"/>
        </w:rPr>
        <w:t xml:space="preserve">VII. Conclusion</w:t>
      </w:r>
    </w:p>
    <w:p w14:paraId="0950C5D6"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Serbia has moved from political declarations to the practical implementation of its nuclear program. The adoption of amendments to the Energy Law, the fixing of the IAEA Phase 1 deadline (2027), and the adjustment of the technological strategy (capacity of 1000–1650 MW with a budget of approximately €3 billion for the first phase) create a clear planning horizon.</w:t>
      </w:r>
    </w:p>
    <w:p w14:paraId="7AC2620E" w14:textId="77777777" w:rsidR="00B91833" w:rsidRPr="00B91833" w:rsidRDefault="00B91833" w:rsidP="00B91833">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91833">
        <w:rPr>
          <w:rFonts w:ascii="Calibri" w:eastAsia="Times New Roman" w:hAnsi="Calibri" w:cs="Calibri"/>
          <w:color w:val="1F1F1F"/>
          <w:kern w:val="0"/>
          <w:lang w:val="ru-BG" w:eastAsia="ru-RU"/>
          <w14:ligatures w14:val="none"/>
        </w:rPr>
        <w:t xml:space="preserve">The coming decade (until construction begins in 2035) will be entirely devoted to engineering preparation. Given the country's lack of necessary experience in constructing nuclear facilities over the past half-century, engaging a specialized independent construction consultancy for project management and quality assurance will be a decisive factor in determining the success and safety of Serbia's entire "Nuclear Renaissance."</w:t>
      </w:r>
    </w:p>
    <w:p w14:paraId="39D49F82" w14:textId="77777777" w:rsidR="00D56F1D" w:rsidRPr="00B91833" w:rsidRDefault="00D56F1D" w:rsidP="00B91833">
      <w:pPr>
        <w:jc w:val="both"/>
        <w:rPr>
          <w:rFonts w:ascii="Calibri" w:hAnsi="Calibri" w:cs="Calibri"/>
          <w:lang w:val="ru-BG"/>
        </w:rPr>
      </w:pPr>
    </w:p>
    <w:p w14:paraId="08D235A3" w14:textId="77777777" w:rsidR="00B91833" w:rsidRPr="00B91833" w:rsidRDefault="00B91833">
      <w:pPr>
        <w:jc w:val="both"/>
        <w:rPr>
          <w:rFonts w:ascii="Calibri" w:hAnsi="Calibri" w:cs="Calibri"/>
          <w:lang w:val="ru-BG"/>
        </w:rPr>
      </w:pPr>
    </w:p>
    <w:sectPr w:rsidR="00B91833" w:rsidRPr="00B918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FB8E" w14:textId="77777777" w:rsidR="00C1070A" w:rsidRDefault="00C1070A" w:rsidP="002E1A52">
      <w:pPr>
        <w:spacing w:after="0" w:line="240" w:lineRule="auto"/>
      </w:pPr>
      <w:r>
        <w:separator/>
      </w:r>
    </w:p>
  </w:endnote>
  <w:endnote w:type="continuationSeparator" w:id="0">
    <w:p w14:paraId="434A525B" w14:textId="77777777" w:rsidR="00C1070A" w:rsidRDefault="00C1070A" w:rsidP="002E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B10C" w14:textId="77777777" w:rsidR="002E1A52" w:rsidRPr="00177B08" w:rsidRDefault="002E1A52" w:rsidP="002E1A52">
    <w:pPr xmlns:w="http://schemas.openxmlformats.org/wordprocessingml/2006/main">
      <w:ind w:right="360"/>
      <w:jc w:val="both"/>
      <w:rPr>
        <w:rFonts w:ascii="Calibri Light" w:eastAsia="Times New Roman" w:hAnsi="Calibri Light" w:cs="Calibri Light"/>
        <w:sz w:val="16"/>
        <w:szCs w:val="16"/>
        <w:lang w:val="en-US"/>
      </w:rPr>
    </w:pPr>
    <w:r xmlns:w="http://schemas.openxmlformats.org/wordprocessingml/2006/main" w:rsidRPr="00177B08">
      <w:rPr>
        <w:rFonts w:ascii="Calibri Light" w:eastAsia="Times New Roman" w:hAnsi="Calibri Light" w:cs="Calibri Light"/>
        <w:sz w:val="16"/>
        <w:szCs w:val="16"/>
        <w:lang w:val="en-US"/>
      </w:rPr>
      <w:t xml:space="preserve">Legal Disclaimer | Privacy Policy</w:t>
    </w:r>
  </w:p>
  <w:p w14:paraId="655F2B53" w14:textId="00CE2E35" w:rsidR="002E1A52" w:rsidRPr="002E1A52" w:rsidRDefault="002E1A52" w:rsidP="002E1A52">
    <w:pPr xmlns:w="http://schemas.openxmlformats.org/wordprocessingml/2006/main">
      <w:pStyle w:val="af1"/>
      <w:ind w:right="360"/>
    </w:pPr>
    <w:r xmlns:w="http://schemas.openxmlformats.org/wordprocessingml/2006/main" w:rsidRPr="00177B08">
      <w:rPr>
        <w:rFonts w:ascii="Calibri Light" w:eastAsia="Times New Roman" w:hAnsi="Calibri Light" w:cs="Calibri Light"/>
        <w:sz w:val="16"/>
        <w:szCs w:val="16"/>
        <w:lang w:val="en-US"/>
      </w:rPr>
      <w:t xml:space="preserve">© Copyright Mikhail Sorokin Entrepreneur NUCON, 2026. All rights reserved. Reproduction, adaptation, or translation without permission is prohibited except as allowed under the international copyright laws. All the text, content, graphics, design, and other works are the copyrighted works of Mikhail Sorokin Entrepreneur NUCON,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EE1B" w14:textId="77777777" w:rsidR="00C1070A" w:rsidRDefault="00C1070A" w:rsidP="002E1A52">
      <w:pPr>
        <w:spacing w:after="0" w:line="240" w:lineRule="auto"/>
      </w:pPr>
      <w:r>
        <w:separator/>
      </w:r>
    </w:p>
  </w:footnote>
  <w:footnote w:type="continuationSeparator" w:id="0">
    <w:p w14:paraId="351A68EC" w14:textId="77777777" w:rsidR="00C1070A" w:rsidRDefault="00C1070A" w:rsidP="002E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88B3" w14:textId="468AB39B" w:rsidR="002E1A52" w:rsidRDefault="002E1A52">
    <w:pPr>
      <w:pStyle w:val="af"/>
    </w:pPr>
    <w:r w:rsidRPr="009951E6">
      <w:rPr>
        <w:noProof/>
      </w:rPr>
      <w:drawing>
        <wp:anchor distT="0" distB="0" distL="114300" distR="114300" simplePos="0" relativeHeight="251659264" behindDoc="0" locked="0" layoutInCell="1" allowOverlap="1" wp14:anchorId="5219233D" wp14:editId="0DC438BF">
          <wp:simplePos x="0" y="0"/>
          <wp:positionH relativeFrom="column">
            <wp:posOffset>2588895</wp:posOffset>
          </wp:positionH>
          <wp:positionV relativeFrom="paragraph">
            <wp:posOffset>-218416</wp:posOffset>
          </wp:positionV>
          <wp:extent cx="721297" cy="721297"/>
          <wp:effectExtent l="0" t="0" r="3175" b="3175"/>
          <wp:wrapTopAndBottom/>
          <wp:doc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297" cy="7212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5320"/>
    <w:multiLevelType w:val="multilevel"/>
    <w:tmpl w:val="922C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0582A"/>
    <w:multiLevelType w:val="multilevel"/>
    <w:tmpl w:val="228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F01DC"/>
    <w:multiLevelType w:val="multilevel"/>
    <w:tmpl w:val="0C5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907951">
    <w:abstractNumId w:val="2"/>
  </w:num>
  <w:num w:numId="2" w16cid:durableId="1946574464">
    <w:abstractNumId w:val="1"/>
  </w:num>
  <w:num w:numId="3" w16cid:durableId="111379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3"/>
    <w:rsid w:val="00070FF1"/>
    <w:rsid w:val="000C616C"/>
    <w:rsid w:val="002E1A52"/>
    <w:rsid w:val="004B6A0F"/>
    <w:rsid w:val="00603CE8"/>
    <w:rsid w:val="00B91833"/>
    <w:rsid w:val="00C1070A"/>
    <w:rsid w:val="00C31080"/>
    <w:rsid w:val="00D01789"/>
    <w:rsid w:val="00D56F1D"/>
    <w:rsid w:val="00D62A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B975"/>
  <w15:chartTrackingRefBased/>
  <w15:docId w15:val="{E5D6B297-20E6-D546-997E-5E205FA0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B9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9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en"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B918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18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18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18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B91833"/>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B91833"/>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B91833"/>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B91833"/>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B91833"/>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B91833"/>
    <w:rPr>
      <w:rFonts w:eastAsiaTheme="majorEastAsia" w:cstheme="majorBidi"/>
      <w:color w:val="272727" w:themeColor="text1" w:themeTint="D8"/>
      <w:lang w:val="en"/>
    </w:rPr>
  </w:style>
  <w:style w:type="paragraph" w:styleId="a3">
    <w:name w:val="Title"/>
    <w:basedOn w:val="a"/>
    <w:next w:val="a"/>
    <w:link w:val="a4"/>
    <w:uiPriority w:val="10"/>
    <w:qFormat/>
    <w:rsid w:val="00B9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1833"/>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B918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1833"/>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B91833"/>
    <w:pPr>
      <w:spacing w:before="160"/>
      <w:jc w:val="center"/>
    </w:pPr>
    <w:rPr>
      <w:i/>
      <w:iCs/>
      <w:color w:val="404040" w:themeColor="text1" w:themeTint="BF"/>
    </w:rPr>
  </w:style>
  <w:style w:type="character" w:customStyle="1" w:styleId="22">
    <w:name w:val="Цитата 2 Знак"/>
    <w:basedOn w:val="a0"/>
    <w:link w:val="21"/>
    <w:uiPriority w:val="29"/>
    <w:rsid w:val="00B91833"/>
    <w:rPr>
      <w:i/>
      <w:iCs/>
      <w:color w:val="404040" w:themeColor="text1" w:themeTint="BF"/>
      <w:lang w:val="en"/>
    </w:rPr>
  </w:style>
  <w:style w:type="paragraph" w:styleId="a7">
    <w:name w:val="List Paragraph"/>
    <w:basedOn w:val="a"/>
    <w:uiPriority w:val="34"/>
    <w:qFormat/>
    <w:rsid w:val="00B91833"/>
    <w:pPr>
      <w:ind w:left="720"/>
      <w:contextualSpacing/>
    </w:pPr>
  </w:style>
  <w:style w:type="character" w:styleId="a8">
    <w:name w:val="Intense Emphasis"/>
    <w:basedOn w:val="a0"/>
    <w:uiPriority w:val="21"/>
    <w:qFormat/>
    <w:rsid w:val="00B91833"/>
    <w:rPr>
      <w:i/>
      <w:iCs/>
      <w:color w:val="0F4761" w:themeColor="accent1" w:themeShade="BF"/>
    </w:rPr>
  </w:style>
  <w:style w:type="paragraph" w:styleId="a9">
    <w:name w:val="Intense Quote"/>
    <w:basedOn w:val="a"/>
    <w:next w:val="a"/>
    <w:link w:val="aa"/>
    <w:uiPriority w:val="30"/>
    <w:qFormat/>
    <w:rsid w:val="00B9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1833"/>
    <w:rPr>
      <w:i/>
      <w:iCs/>
      <w:color w:val="0F4761" w:themeColor="accent1" w:themeShade="BF"/>
      <w:lang w:val="en"/>
    </w:rPr>
  </w:style>
  <w:style w:type="character" w:styleId="ab">
    <w:name w:val="Intense Reference"/>
    <w:basedOn w:val="a0"/>
    <w:uiPriority w:val="32"/>
    <w:qFormat/>
    <w:rsid w:val="00B91833"/>
    <w:rPr>
      <w:b/>
      <w:bCs/>
      <w:smallCaps/>
      <w:color w:val="0F4761" w:themeColor="accent1" w:themeShade="BF"/>
      <w:spacing w:val="5"/>
    </w:rPr>
  </w:style>
  <w:style w:type="paragraph" w:styleId="ac">
    <w:name w:val="Normal (Web)"/>
    <w:basedOn w:val="a"/>
    <w:uiPriority w:val="99"/>
    <w:semiHidden/>
    <w:unhideWhenUsed/>
    <w:rsid w:val="00B91833"/>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character" w:styleId="ad">
    <w:name w:val="Strong"/>
    <w:basedOn w:val="a0"/>
    <w:uiPriority w:val="22"/>
    <w:qFormat/>
    <w:rsid w:val="00B91833"/>
    <w:rPr>
      <w:b/>
      <w:bCs/>
    </w:rPr>
  </w:style>
  <w:style w:type="table" w:styleId="ae">
    <w:name w:val="Table Grid"/>
    <w:basedOn w:val="a1"/>
    <w:uiPriority w:val="39"/>
    <w:rsid w:val="00B9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E1A52"/>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2E1A52"/>
    <w:rPr>
      <w:lang w:val="en"/>
    </w:rPr>
  </w:style>
  <w:style w:type="paragraph" w:styleId="af1">
    <w:name w:val="footer"/>
    <w:basedOn w:val="a"/>
    <w:link w:val="af2"/>
    <w:uiPriority w:val="99"/>
    <w:unhideWhenUsed/>
    <w:qFormat/>
    <w:rsid w:val="002E1A52"/>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2E1A52"/>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2026-03-16T11:56:00Z</dcterms:created>
  <dcterms:modified xsi:type="dcterms:W3CDTF">2026-03-16T12:04:00Z</dcterms:modified>
</cp:coreProperties>
</file>